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FCEC7" w14:textId="77777777" w:rsidR="00747219" w:rsidRDefault="00747219" w:rsidP="00585AED">
      <w:pPr>
        <w:spacing w:after="120" w:line="240" w:lineRule="auto"/>
        <w:ind w:right="-856"/>
        <w:jc w:val="center"/>
        <w:rPr>
          <w:b/>
          <w:sz w:val="24"/>
          <w:szCs w:val="24"/>
        </w:rPr>
      </w:pPr>
      <w:bookmarkStart w:id="0" w:name="_GoBack"/>
      <w:bookmarkEnd w:id="0"/>
      <w:r>
        <w:rPr>
          <w:b/>
          <w:sz w:val="24"/>
          <w:szCs w:val="24"/>
        </w:rPr>
        <w:t>SCUOLA DI SPECIALIZZAZIONE IN FARMACIA OSPEDALIERA</w:t>
      </w:r>
    </w:p>
    <w:p w14:paraId="570C87D3" w14:textId="53FD8D54" w:rsidR="00747219" w:rsidRDefault="00747219" w:rsidP="00585AED">
      <w:pPr>
        <w:spacing w:after="120" w:line="240" w:lineRule="auto"/>
        <w:ind w:right="-856"/>
        <w:jc w:val="center"/>
        <w:rPr>
          <w:b/>
          <w:sz w:val="24"/>
          <w:szCs w:val="24"/>
        </w:rPr>
      </w:pPr>
      <w:r>
        <w:rPr>
          <w:b/>
          <w:sz w:val="24"/>
          <w:szCs w:val="24"/>
        </w:rPr>
        <w:t>ATTIVIT</w:t>
      </w:r>
      <w:r w:rsidR="00585AED">
        <w:rPr>
          <w:rFonts w:cs="Calibri"/>
          <w:b/>
          <w:sz w:val="24"/>
          <w:szCs w:val="24"/>
        </w:rPr>
        <w:t>À</w:t>
      </w:r>
      <w:r>
        <w:rPr>
          <w:b/>
          <w:sz w:val="24"/>
          <w:szCs w:val="24"/>
        </w:rPr>
        <w:t xml:space="preserve"> PROFESSIONALIZZAN</w:t>
      </w:r>
      <w:r w:rsidR="00B13CFB">
        <w:rPr>
          <w:b/>
          <w:sz w:val="24"/>
          <w:szCs w:val="24"/>
        </w:rPr>
        <w:t>T</w:t>
      </w:r>
      <w:r w:rsidRPr="008B5FC3">
        <w:rPr>
          <w:b/>
          <w:sz w:val="24"/>
          <w:szCs w:val="24"/>
        </w:rPr>
        <w:t>I I</w:t>
      </w:r>
      <w:r>
        <w:rPr>
          <w:b/>
          <w:sz w:val="24"/>
          <w:szCs w:val="24"/>
        </w:rPr>
        <w:t>I</w:t>
      </w:r>
      <w:r w:rsidRPr="008B5FC3">
        <w:rPr>
          <w:b/>
          <w:sz w:val="24"/>
          <w:szCs w:val="24"/>
        </w:rPr>
        <w:t xml:space="preserve"> ANNO</w:t>
      </w:r>
      <w:r>
        <w:rPr>
          <w:b/>
          <w:sz w:val="24"/>
          <w:szCs w:val="24"/>
        </w:rPr>
        <w:t xml:space="preserve"> - Corte </w:t>
      </w:r>
    </w:p>
    <w:p w14:paraId="7D9BA3C9" w14:textId="4123A349" w:rsidR="00E92E3E" w:rsidRDefault="00E92E3E" w:rsidP="00585AED">
      <w:pPr>
        <w:spacing w:after="120" w:line="240" w:lineRule="auto"/>
        <w:ind w:right="-856"/>
        <w:jc w:val="center"/>
        <w:rPr>
          <w:b/>
          <w:sz w:val="24"/>
          <w:szCs w:val="24"/>
        </w:rPr>
      </w:pPr>
      <w:r>
        <w:rPr>
          <w:b/>
          <w:sz w:val="24"/>
          <w:szCs w:val="24"/>
        </w:rPr>
        <w:t xml:space="preserve">SPECIALIZZANDA: </w:t>
      </w:r>
    </w:p>
    <w:p w14:paraId="56E75D57" w14:textId="0F3C0436" w:rsidR="00E92E3E" w:rsidRDefault="00E92E3E" w:rsidP="00585AED">
      <w:pPr>
        <w:spacing w:after="120" w:line="240" w:lineRule="auto"/>
        <w:ind w:right="-856"/>
        <w:jc w:val="center"/>
        <w:rPr>
          <w:b/>
          <w:sz w:val="24"/>
          <w:szCs w:val="24"/>
        </w:rPr>
      </w:pPr>
      <w:r>
        <w:rPr>
          <w:b/>
          <w:sz w:val="24"/>
          <w:szCs w:val="24"/>
        </w:rPr>
        <w:t xml:space="preserve">TUTOR INDIVIDUALE: </w:t>
      </w:r>
    </w:p>
    <w:tbl>
      <w:tblPr>
        <w:tblpPr w:leftFromText="141" w:rightFromText="141" w:vertAnchor="text" w:horzAnchor="page" w:tblpX="750" w:tblpY="35"/>
        <w:tblOverlap w:val="never"/>
        <w:tblW w:w="5090" w:type="pct"/>
        <w:tblBorders>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13"/>
        <w:gridCol w:w="4601"/>
        <w:gridCol w:w="1130"/>
        <w:gridCol w:w="1192"/>
        <w:gridCol w:w="1788"/>
      </w:tblGrid>
      <w:tr w:rsidR="00DD653D" w:rsidRPr="000731CD" w14:paraId="59D26DEC" w14:textId="77777777" w:rsidTr="005934C8">
        <w:trPr>
          <w:trHeight w:hRule="exact" w:val="578"/>
        </w:trPr>
        <w:tc>
          <w:tcPr>
            <w:tcW w:w="2062" w:type="pct"/>
            <w:tcBorders>
              <w:top w:val="single" w:sz="4" w:space="0" w:color="auto"/>
            </w:tcBorders>
            <w:vAlign w:val="center"/>
          </w:tcPr>
          <w:p w14:paraId="12B11D1A" w14:textId="77777777" w:rsidR="00DD653D" w:rsidRPr="000731CD" w:rsidRDefault="00DD653D" w:rsidP="005934C8">
            <w:pPr>
              <w:spacing w:after="0" w:line="240" w:lineRule="auto"/>
              <w:jc w:val="center"/>
              <w:rPr>
                <w:b/>
                <w:sz w:val="24"/>
                <w:szCs w:val="24"/>
              </w:rPr>
            </w:pPr>
            <w:r>
              <w:rPr>
                <w:b/>
                <w:sz w:val="24"/>
                <w:szCs w:val="24"/>
              </w:rPr>
              <w:t>REQUISITO ASSISTENZIALE</w:t>
            </w:r>
          </w:p>
        </w:tc>
        <w:tc>
          <w:tcPr>
            <w:tcW w:w="1552" w:type="pct"/>
            <w:tcBorders>
              <w:top w:val="single" w:sz="4" w:space="0" w:color="auto"/>
            </w:tcBorders>
          </w:tcPr>
          <w:p w14:paraId="2FB61A48" w14:textId="77777777" w:rsidR="00DD653D" w:rsidRDefault="00DD653D" w:rsidP="005934C8">
            <w:pPr>
              <w:spacing w:after="0" w:line="240" w:lineRule="auto"/>
              <w:jc w:val="center"/>
              <w:rPr>
                <w:b/>
                <w:sz w:val="24"/>
                <w:szCs w:val="24"/>
              </w:rPr>
            </w:pPr>
            <w:r>
              <w:rPr>
                <w:b/>
                <w:sz w:val="24"/>
                <w:szCs w:val="24"/>
              </w:rPr>
              <w:t>CORSO INTEGRATO (C.I.)</w:t>
            </w:r>
            <w:r>
              <w:rPr>
                <w:b/>
                <w:sz w:val="24"/>
                <w:szCs w:val="24"/>
              </w:rPr>
              <w:br/>
              <w:t>modulo</w:t>
            </w:r>
          </w:p>
        </w:tc>
        <w:tc>
          <w:tcPr>
            <w:tcW w:w="381" w:type="pct"/>
            <w:tcBorders>
              <w:top w:val="single" w:sz="4" w:space="0" w:color="auto"/>
            </w:tcBorders>
          </w:tcPr>
          <w:p w14:paraId="781AF998" w14:textId="77777777" w:rsidR="00DD653D" w:rsidRDefault="00DD653D" w:rsidP="005934C8">
            <w:pPr>
              <w:spacing w:after="0" w:line="240" w:lineRule="auto"/>
              <w:jc w:val="center"/>
              <w:rPr>
                <w:b/>
                <w:sz w:val="24"/>
                <w:szCs w:val="24"/>
              </w:rPr>
            </w:pPr>
            <w:r>
              <w:rPr>
                <w:b/>
                <w:sz w:val="24"/>
                <w:szCs w:val="24"/>
              </w:rPr>
              <w:t>SSD</w:t>
            </w:r>
          </w:p>
        </w:tc>
        <w:tc>
          <w:tcPr>
            <w:tcW w:w="402" w:type="pct"/>
            <w:tcBorders>
              <w:top w:val="single" w:sz="4" w:space="0" w:color="auto"/>
            </w:tcBorders>
          </w:tcPr>
          <w:p w14:paraId="3DE63A53" w14:textId="77777777" w:rsidR="00DD653D" w:rsidRDefault="00DD653D" w:rsidP="005934C8">
            <w:pPr>
              <w:spacing w:after="0" w:line="240" w:lineRule="auto"/>
              <w:jc w:val="center"/>
              <w:rPr>
                <w:b/>
                <w:sz w:val="24"/>
                <w:szCs w:val="24"/>
              </w:rPr>
            </w:pPr>
            <w:r>
              <w:rPr>
                <w:b/>
                <w:sz w:val="24"/>
                <w:szCs w:val="24"/>
              </w:rPr>
              <w:t>CFU</w:t>
            </w:r>
          </w:p>
          <w:p w14:paraId="4458509A" w14:textId="77777777" w:rsidR="00DD653D" w:rsidRDefault="00DD653D" w:rsidP="005934C8">
            <w:pPr>
              <w:spacing w:after="0" w:line="240" w:lineRule="auto"/>
              <w:jc w:val="center"/>
              <w:rPr>
                <w:b/>
                <w:sz w:val="24"/>
                <w:szCs w:val="24"/>
              </w:rPr>
            </w:pPr>
            <w:r>
              <w:rPr>
                <w:b/>
                <w:sz w:val="24"/>
                <w:szCs w:val="24"/>
              </w:rPr>
              <w:t>ore</w:t>
            </w:r>
          </w:p>
        </w:tc>
        <w:tc>
          <w:tcPr>
            <w:tcW w:w="603" w:type="pct"/>
            <w:tcBorders>
              <w:top w:val="single" w:sz="4" w:space="0" w:color="auto"/>
            </w:tcBorders>
          </w:tcPr>
          <w:p w14:paraId="0B19049B" w14:textId="7DA56BF7" w:rsidR="00DD653D" w:rsidRDefault="00747219" w:rsidP="005934C8">
            <w:pPr>
              <w:spacing w:after="0" w:line="240" w:lineRule="auto"/>
              <w:jc w:val="center"/>
              <w:rPr>
                <w:b/>
                <w:sz w:val="24"/>
                <w:szCs w:val="24"/>
              </w:rPr>
            </w:pPr>
            <w:r>
              <w:rPr>
                <w:b/>
                <w:sz w:val="24"/>
                <w:szCs w:val="24"/>
              </w:rPr>
              <w:t>TUTOR DI GRUPPO</w:t>
            </w:r>
          </w:p>
        </w:tc>
      </w:tr>
      <w:tr w:rsidR="00DD653D" w:rsidRPr="005074D6" w14:paraId="0EA3ED74" w14:textId="77777777" w:rsidTr="005934C8">
        <w:trPr>
          <w:trHeight w:val="411"/>
        </w:trPr>
        <w:tc>
          <w:tcPr>
            <w:tcW w:w="4397" w:type="pct"/>
            <w:gridSpan w:val="4"/>
            <w:shd w:val="clear" w:color="auto" w:fill="FFFFFF" w:themeFill="background1"/>
          </w:tcPr>
          <w:p w14:paraId="78CFD8BD" w14:textId="77777777" w:rsidR="00DD653D" w:rsidRPr="00FB2CDD" w:rsidRDefault="00DD653D" w:rsidP="005934C8">
            <w:pPr>
              <w:spacing w:after="0" w:line="240" w:lineRule="auto"/>
              <w:rPr>
                <w:b/>
                <w:sz w:val="24"/>
                <w:szCs w:val="24"/>
              </w:rPr>
            </w:pPr>
            <w:r w:rsidRPr="00FB2CDD">
              <w:rPr>
                <w:rFonts w:asciiTheme="majorHAnsi" w:hAnsiTheme="majorHAnsi"/>
                <w:b/>
                <w:sz w:val="24"/>
                <w:szCs w:val="24"/>
                <w:u w:val="single"/>
              </w:rPr>
              <w:t>INFORMAZIONE E DOCUMENTAZIONE DEI FARMACI</w:t>
            </w:r>
          </w:p>
        </w:tc>
        <w:tc>
          <w:tcPr>
            <w:tcW w:w="603" w:type="pct"/>
            <w:shd w:val="clear" w:color="auto" w:fill="FFFFFF" w:themeFill="background1"/>
          </w:tcPr>
          <w:p w14:paraId="58BABAFA" w14:textId="77777777" w:rsidR="00DD653D" w:rsidRPr="00FB2CDD" w:rsidRDefault="00DD653D" w:rsidP="005934C8">
            <w:pPr>
              <w:spacing w:after="0" w:line="240" w:lineRule="auto"/>
              <w:rPr>
                <w:rFonts w:asciiTheme="majorHAnsi" w:hAnsiTheme="majorHAnsi"/>
                <w:b/>
                <w:sz w:val="24"/>
                <w:szCs w:val="24"/>
                <w:u w:val="single"/>
              </w:rPr>
            </w:pPr>
          </w:p>
        </w:tc>
      </w:tr>
      <w:tr w:rsidR="00B077BC" w:rsidRPr="00DD653D" w14:paraId="77B37A5A" w14:textId="77777777" w:rsidTr="005934C8">
        <w:trPr>
          <w:trHeight w:val="849"/>
        </w:trPr>
        <w:tc>
          <w:tcPr>
            <w:tcW w:w="2062" w:type="pct"/>
            <w:shd w:val="clear" w:color="auto" w:fill="FFFFFF" w:themeFill="background1"/>
          </w:tcPr>
          <w:p w14:paraId="79A8B383" w14:textId="37F8B581" w:rsidR="00B077BC" w:rsidRPr="00DD653D" w:rsidRDefault="00B077BC" w:rsidP="00B077BC">
            <w:pPr>
              <w:tabs>
                <w:tab w:val="num" w:pos="465"/>
              </w:tabs>
              <w:spacing w:after="0" w:line="240" w:lineRule="auto"/>
              <w:jc w:val="both"/>
              <w:rPr>
                <w:rFonts w:asciiTheme="majorHAnsi" w:eastAsia="Times New Roman" w:hAnsiTheme="majorHAnsi" w:cs="Tahoma"/>
                <w:i/>
                <w:highlight w:val="yellow"/>
                <w:lang w:eastAsia="it-IT"/>
              </w:rPr>
            </w:pPr>
            <w:r w:rsidRPr="007D211F">
              <w:rPr>
                <w:i/>
                <w:lang w:eastAsia="ja-JP"/>
              </w:rPr>
              <w:t xml:space="preserve">Interrogazione di banche dati ed altre fonti informative, reperimento di voci bibliografiche, interpretazione dei dati di lavori clinici, revisioni sistematiche, </w:t>
            </w:r>
            <w:r>
              <w:rPr>
                <w:i/>
                <w:lang w:eastAsia="ja-JP"/>
              </w:rPr>
              <w:t>metanalisi, per almeno 100 ore.</w:t>
            </w:r>
            <w:r w:rsidR="00585AED">
              <w:rPr>
                <w:i/>
                <w:lang w:eastAsia="ja-JP"/>
              </w:rPr>
              <w:t xml:space="preserve"> </w:t>
            </w:r>
            <w:r w:rsidRPr="00E363B7">
              <w:rPr>
                <w:lang w:eastAsia="ja-JP"/>
              </w:rPr>
              <w:t>(</w:t>
            </w:r>
            <w:r w:rsidRPr="00F14086">
              <w:rPr>
                <w:lang w:eastAsia="ja-JP"/>
              </w:rPr>
              <w:t>90 ore)</w:t>
            </w:r>
          </w:p>
        </w:tc>
        <w:tc>
          <w:tcPr>
            <w:tcW w:w="1552" w:type="pct"/>
            <w:shd w:val="clear" w:color="auto" w:fill="FFFFFF" w:themeFill="background1"/>
          </w:tcPr>
          <w:p w14:paraId="49E3BD4D" w14:textId="77777777" w:rsidR="00B077BC" w:rsidRPr="008F4575" w:rsidRDefault="00B077BC" w:rsidP="00B077BC">
            <w:pPr>
              <w:spacing w:after="240" w:line="240" w:lineRule="auto"/>
              <w:jc w:val="center"/>
              <w:rPr>
                <w:sz w:val="20"/>
                <w:szCs w:val="20"/>
              </w:rPr>
            </w:pPr>
            <w:r w:rsidRPr="008F4575">
              <w:rPr>
                <w:sz w:val="20"/>
                <w:szCs w:val="20"/>
              </w:rPr>
              <w:t>C.I. AREA GESTIONALE E DI GOVERNO CLINICO I</w:t>
            </w:r>
            <w:r>
              <w:rPr>
                <w:sz w:val="20"/>
                <w:szCs w:val="20"/>
              </w:rPr>
              <w:t>I</w:t>
            </w:r>
          </w:p>
          <w:p w14:paraId="57FB9981" w14:textId="40E22204" w:rsidR="00B077BC" w:rsidRPr="008F4575" w:rsidRDefault="00B077BC" w:rsidP="00B077BC">
            <w:pPr>
              <w:spacing w:after="240" w:line="240" w:lineRule="auto"/>
              <w:jc w:val="center"/>
              <w:rPr>
                <w:sz w:val="20"/>
                <w:szCs w:val="20"/>
              </w:rPr>
            </w:pPr>
            <w:r w:rsidRPr="00B077BC">
              <w:rPr>
                <w:sz w:val="20"/>
                <w:szCs w:val="20"/>
              </w:rPr>
              <w:t>Interrogazione di fonti informative, banche dati e metanalisi ed attività di informazione sul farmaco e tecnologie sanitarie</w:t>
            </w:r>
          </w:p>
        </w:tc>
        <w:tc>
          <w:tcPr>
            <w:tcW w:w="381" w:type="pct"/>
            <w:shd w:val="clear" w:color="auto" w:fill="FFFFFF" w:themeFill="background1"/>
          </w:tcPr>
          <w:p w14:paraId="6A3CDFE0" w14:textId="6B130148" w:rsidR="00B077BC" w:rsidRPr="00B077BC" w:rsidRDefault="00B077BC" w:rsidP="00B077BC">
            <w:pPr>
              <w:spacing w:after="0" w:line="240" w:lineRule="auto"/>
              <w:jc w:val="center"/>
            </w:pPr>
            <w:r w:rsidRPr="00B077BC">
              <w:t>CHIM/08</w:t>
            </w:r>
          </w:p>
        </w:tc>
        <w:tc>
          <w:tcPr>
            <w:tcW w:w="402" w:type="pct"/>
            <w:shd w:val="clear" w:color="auto" w:fill="FFFFFF" w:themeFill="background1"/>
          </w:tcPr>
          <w:p w14:paraId="53251094" w14:textId="5CFCB42E" w:rsidR="00B077BC" w:rsidRPr="00B077BC" w:rsidRDefault="00B077BC" w:rsidP="00B077BC">
            <w:pPr>
              <w:spacing w:after="0" w:line="240" w:lineRule="auto"/>
              <w:jc w:val="center"/>
            </w:pPr>
            <w:r>
              <w:t>3</w:t>
            </w:r>
            <w:r w:rsidRPr="00B077BC">
              <w:t xml:space="preserve"> CFU</w:t>
            </w:r>
          </w:p>
          <w:p w14:paraId="3C657170" w14:textId="524C04D6" w:rsidR="00B077BC" w:rsidRPr="00B077BC" w:rsidRDefault="00B077BC" w:rsidP="00B077BC">
            <w:pPr>
              <w:spacing w:after="0" w:line="240" w:lineRule="auto"/>
              <w:jc w:val="center"/>
            </w:pPr>
            <w:r>
              <w:t>90</w:t>
            </w:r>
            <w:r w:rsidRPr="00B077BC">
              <w:t xml:space="preserve"> ore</w:t>
            </w:r>
          </w:p>
        </w:tc>
        <w:tc>
          <w:tcPr>
            <w:tcW w:w="603" w:type="pct"/>
            <w:shd w:val="clear" w:color="auto" w:fill="FFFFFF" w:themeFill="background1"/>
          </w:tcPr>
          <w:p w14:paraId="1ABDA018" w14:textId="485E7DA6" w:rsidR="00B077BC" w:rsidRPr="00DD653D" w:rsidRDefault="00B077BC" w:rsidP="00B077BC">
            <w:pPr>
              <w:spacing w:after="0" w:line="240" w:lineRule="auto"/>
              <w:jc w:val="center"/>
              <w:rPr>
                <w:sz w:val="20"/>
                <w:szCs w:val="20"/>
                <w:lang w:bidi="x-none"/>
              </w:rPr>
            </w:pPr>
          </w:p>
        </w:tc>
      </w:tr>
      <w:tr w:rsidR="00B077BC" w:rsidRPr="00DD653D" w14:paraId="62600B8A" w14:textId="77777777" w:rsidTr="005934C8">
        <w:trPr>
          <w:trHeight w:val="849"/>
        </w:trPr>
        <w:tc>
          <w:tcPr>
            <w:tcW w:w="2062" w:type="pct"/>
            <w:shd w:val="clear" w:color="auto" w:fill="FFFFFF" w:themeFill="background1"/>
          </w:tcPr>
          <w:p w14:paraId="3B69D365" w14:textId="0A6F84A4" w:rsidR="00B077BC" w:rsidRPr="00B077BC" w:rsidRDefault="00B077BC" w:rsidP="00B077BC">
            <w:pPr>
              <w:tabs>
                <w:tab w:val="num" w:pos="465"/>
              </w:tabs>
              <w:spacing w:after="0" w:line="240" w:lineRule="auto"/>
              <w:jc w:val="both"/>
              <w:rPr>
                <w:lang w:eastAsia="ja-JP"/>
              </w:rPr>
            </w:pPr>
            <w:r w:rsidRPr="00B077BC">
              <w:rPr>
                <w:rFonts w:asciiTheme="majorHAnsi" w:eastAsia="Times New Roman" w:hAnsiTheme="majorHAnsi" w:cs="Tahoma"/>
                <w:i/>
                <w:lang w:eastAsia="it-IT"/>
              </w:rPr>
              <w:t>Attività di informazione passiva:</w:t>
            </w:r>
            <w:r w:rsidR="00585AED">
              <w:rPr>
                <w:rFonts w:asciiTheme="majorHAnsi" w:eastAsia="Times New Roman" w:hAnsiTheme="majorHAnsi" w:cs="Tahoma"/>
                <w:i/>
                <w:lang w:eastAsia="it-IT"/>
              </w:rPr>
              <w:t xml:space="preserve"> </w:t>
            </w:r>
            <w:r w:rsidRPr="00B077BC">
              <w:rPr>
                <w:rFonts w:asciiTheme="majorHAnsi" w:eastAsia="Times New Roman" w:hAnsiTheme="majorHAnsi" w:cs="Tahoma"/>
                <w:i/>
                <w:lang w:eastAsia="it-IT"/>
              </w:rPr>
              <w:t>100 ore con elaborazione di almeno 50 risposte a quesiti specifici.</w:t>
            </w:r>
            <w:r w:rsidRPr="00B077BC">
              <w:rPr>
                <w:b/>
                <w:i/>
                <w:lang w:eastAsia="ja-JP"/>
              </w:rPr>
              <w:t xml:space="preserve"> </w:t>
            </w:r>
            <w:r w:rsidRPr="00B077BC">
              <w:rPr>
                <w:lang w:eastAsia="ja-JP"/>
              </w:rPr>
              <w:t>(</w:t>
            </w:r>
            <w:r>
              <w:rPr>
                <w:lang w:eastAsia="ja-JP"/>
              </w:rPr>
              <w:t>50</w:t>
            </w:r>
            <w:r w:rsidRPr="00B077BC">
              <w:rPr>
                <w:lang w:eastAsia="ja-JP"/>
              </w:rPr>
              <w:t xml:space="preserve"> quesiti; </w:t>
            </w:r>
            <w:r>
              <w:rPr>
                <w:lang w:eastAsia="ja-JP"/>
              </w:rPr>
              <w:t>90</w:t>
            </w:r>
            <w:r w:rsidRPr="00B077BC">
              <w:rPr>
                <w:lang w:eastAsia="ja-JP"/>
              </w:rPr>
              <w:t xml:space="preserve"> ore)</w:t>
            </w:r>
          </w:p>
          <w:p w14:paraId="41D92C72" w14:textId="24B38CD1" w:rsidR="00B077BC" w:rsidRPr="00DD653D" w:rsidRDefault="00B077BC" w:rsidP="00B077BC">
            <w:pPr>
              <w:tabs>
                <w:tab w:val="num" w:pos="465"/>
              </w:tabs>
              <w:spacing w:after="0" w:line="240" w:lineRule="auto"/>
              <w:jc w:val="both"/>
              <w:rPr>
                <w:b/>
                <w:highlight w:val="yellow"/>
                <w:u w:val="single"/>
              </w:rPr>
            </w:pPr>
          </w:p>
        </w:tc>
        <w:tc>
          <w:tcPr>
            <w:tcW w:w="1552" w:type="pct"/>
            <w:shd w:val="clear" w:color="auto" w:fill="FFFFFF" w:themeFill="background1"/>
          </w:tcPr>
          <w:p w14:paraId="046B2D46" w14:textId="1EB48B55" w:rsidR="00B077BC" w:rsidRPr="008F4575" w:rsidRDefault="00B077BC" w:rsidP="00B077BC">
            <w:pPr>
              <w:spacing w:after="240" w:line="240" w:lineRule="auto"/>
              <w:jc w:val="center"/>
              <w:rPr>
                <w:sz w:val="20"/>
                <w:szCs w:val="20"/>
              </w:rPr>
            </w:pPr>
            <w:r w:rsidRPr="008F4575">
              <w:rPr>
                <w:sz w:val="20"/>
                <w:szCs w:val="20"/>
              </w:rPr>
              <w:t>C.I. AREA GESTIONALE E DI GOVERNO CLINICO I</w:t>
            </w:r>
            <w:r>
              <w:rPr>
                <w:sz w:val="20"/>
                <w:szCs w:val="20"/>
              </w:rPr>
              <w:t>I</w:t>
            </w:r>
          </w:p>
          <w:p w14:paraId="40ACCE19" w14:textId="56B6F7F4" w:rsidR="00B077BC" w:rsidRPr="00B077BC" w:rsidRDefault="00B077BC" w:rsidP="00B077BC">
            <w:pPr>
              <w:spacing w:after="0" w:line="240" w:lineRule="auto"/>
              <w:jc w:val="center"/>
              <w:rPr>
                <w:sz w:val="20"/>
                <w:szCs w:val="20"/>
                <w:highlight w:val="yellow"/>
              </w:rPr>
            </w:pPr>
            <w:r w:rsidRPr="00B077BC">
              <w:rPr>
                <w:sz w:val="20"/>
                <w:szCs w:val="20"/>
              </w:rPr>
              <w:t>Interrogazione di fonti informative, banche dati e metanalisi ed attività di informazione sul farmaco e tecnologie sanitarie</w:t>
            </w:r>
          </w:p>
        </w:tc>
        <w:tc>
          <w:tcPr>
            <w:tcW w:w="381" w:type="pct"/>
            <w:shd w:val="clear" w:color="auto" w:fill="FFFFFF" w:themeFill="background1"/>
          </w:tcPr>
          <w:p w14:paraId="406B7ECE" w14:textId="6A7E4D7D" w:rsidR="00B077BC" w:rsidRPr="00B077BC" w:rsidRDefault="00B077BC" w:rsidP="00B077BC">
            <w:pPr>
              <w:spacing w:after="0" w:line="240" w:lineRule="auto"/>
              <w:jc w:val="center"/>
            </w:pPr>
            <w:r w:rsidRPr="00B077BC">
              <w:t>CHIM/08</w:t>
            </w:r>
          </w:p>
        </w:tc>
        <w:tc>
          <w:tcPr>
            <w:tcW w:w="402" w:type="pct"/>
            <w:shd w:val="clear" w:color="auto" w:fill="FFFFFF" w:themeFill="background1"/>
          </w:tcPr>
          <w:p w14:paraId="76EC89FC" w14:textId="4158EFAB" w:rsidR="00B077BC" w:rsidRPr="00B077BC" w:rsidRDefault="00B077BC" w:rsidP="00B077BC">
            <w:pPr>
              <w:spacing w:after="0" w:line="240" w:lineRule="auto"/>
              <w:jc w:val="center"/>
            </w:pPr>
            <w:r>
              <w:t>3</w:t>
            </w:r>
            <w:r w:rsidRPr="00B077BC">
              <w:t xml:space="preserve"> CFU</w:t>
            </w:r>
          </w:p>
          <w:p w14:paraId="6B7690FD" w14:textId="74BEDE2D" w:rsidR="00B077BC" w:rsidRPr="00B077BC" w:rsidRDefault="00B077BC" w:rsidP="00B077BC">
            <w:pPr>
              <w:spacing w:after="0" w:line="240" w:lineRule="auto"/>
              <w:jc w:val="center"/>
            </w:pPr>
            <w:r>
              <w:t>90</w:t>
            </w:r>
            <w:r w:rsidRPr="00B077BC">
              <w:t xml:space="preserve"> ore</w:t>
            </w:r>
          </w:p>
        </w:tc>
        <w:tc>
          <w:tcPr>
            <w:tcW w:w="603" w:type="pct"/>
            <w:shd w:val="clear" w:color="auto" w:fill="FFFFFF" w:themeFill="background1"/>
          </w:tcPr>
          <w:p w14:paraId="3EA53145" w14:textId="6C072923" w:rsidR="00B077BC" w:rsidRPr="00DD653D" w:rsidRDefault="00B077BC" w:rsidP="00B077BC">
            <w:pPr>
              <w:spacing w:after="0" w:line="240" w:lineRule="auto"/>
              <w:jc w:val="center"/>
              <w:rPr>
                <w:sz w:val="20"/>
                <w:szCs w:val="20"/>
                <w:highlight w:val="yellow"/>
              </w:rPr>
            </w:pPr>
          </w:p>
        </w:tc>
      </w:tr>
      <w:tr w:rsidR="004D47D4" w:rsidRPr="00DD653D" w14:paraId="1A09F39F" w14:textId="77777777" w:rsidTr="005934C8">
        <w:trPr>
          <w:trHeight w:val="849"/>
        </w:trPr>
        <w:tc>
          <w:tcPr>
            <w:tcW w:w="2062" w:type="pct"/>
            <w:shd w:val="clear" w:color="auto" w:fill="FFFFFF" w:themeFill="background1"/>
          </w:tcPr>
          <w:p w14:paraId="0D3D4A94" w14:textId="3F1A7A31" w:rsidR="004D47D4" w:rsidRPr="00B077BC" w:rsidRDefault="004D47D4" w:rsidP="00B077BC">
            <w:pPr>
              <w:tabs>
                <w:tab w:val="num" w:pos="465"/>
              </w:tabs>
              <w:spacing w:after="0" w:line="240" w:lineRule="auto"/>
              <w:jc w:val="both"/>
              <w:rPr>
                <w:rFonts w:asciiTheme="majorHAnsi" w:eastAsia="Times New Roman" w:hAnsiTheme="majorHAnsi" w:cs="Tahoma"/>
                <w:i/>
                <w:lang w:eastAsia="it-IT"/>
              </w:rPr>
            </w:pPr>
            <w:r w:rsidRPr="00F14086">
              <w:rPr>
                <w:i/>
                <w:lang w:eastAsia="ja-JP"/>
              </w:rPr>
              <w:t xml:space="preserve">Interrogazione di banche dati ed altre fonti informative, reperimento di voci bibliografiche, interpretazione dei dati di lavori clinici, revisioni sistematiche, metanalisi, per almeno 100 ore. </w:t>
            </w:r>
            <w:r w:rsidRPr="00F14086">
              <w:rPr>
                <w:lang w:eastAsia="ja-JP"/>
              </w:rPr>
              <w:t>(30 ore)</w:t>
            </w:r>
          </w:p>
        </w:tc>
        <w:tc>
          <w:tcPr>
            <w:tcW w:w="1552" w:type="pct"/>
            <w:shd w:val="clear" w:color="auto" w:fill="FFFFFF" w:themeFill="background1"/>
          </w:tcPr>
          <w:p w14:paraId="12828867" w14:textId="712E47A3" w:rsidR="004D47D4" w:rsidRPr="008F4575" w:rsidRDefault="004D47D4" w:rsidP="004D47D4">
            <w:pPr>
              <w:spacing w:after="240" w:line="240" w:lineRule="auto"/>
              <w:jc w:val="center"/>
              <w:rPr>
                <w:sz w:val="20"/>
                <w:szCs w:val="20"/>
              </w:rPr>
            </w:pPr>
            <w:r w:rsidRPr="008F4575">
              <w:rPr>
                <w:sz w:val="20"/>
                <w:szCs w:val="20"/>
              </w:rPr>
              <w:t xml:space="preserve">C.I. </w:t>
            </w:r>
            <w:r>
              <w:rPr>
                <w:sz w:val="20"/>
                <w:szCs w:val="20"/>
              </w:rPr>
              <w:t>FARMACOTERAPIA BASATA SULLE EVIDENZE</w:t>
            </w:r>
          </w:p>
          <w:p w14:paraId="0362BDDA" w14:textId="0276E2BB" w:rsidR="004D47D4" w:rsidRPr="004D47D4" w:rsidRDefault="004D47D4" w:rsidP="00B077BC">
            <w:pPr>
              <w:spacing w:after="240" w:line="240" w:lineRule="auto"/>
              <w:jc w:val="center"/>
              <w:rPr>
                <w:sz w:val="20"/>
                <w:szCs w:val="20"/>
              </w:rPr>
            </w:pPr>
            <w:r w:rsidRPr="004D47D4">
              <w:rPr>
                <w:sz w:val="20"/>
                <w:szCs w:val="20"/>
              </w:rPr>
              <w:t>Farmacoterapia basata sulle evidenze</w:t>
            </w:r>
          </w:p>
        </w:tc>
        <w:tc>
          <w:tcPr>
            <w:tcW w:w="381" w:type="pct"/>
            <w:shd w:val="clear" w:color="auto" w:fill="FFFFFF" w:themeFill="background1"/>
          </w:tcPr>
          <w:p w14:paraId="7E19FC81" w14:textId="2B57DCFF" w:rsidR="004D47D4" w:rsidRPr="00B077BC" w:rsidRDefault="004D47D4" w:rsidP="00B077BC">
            <w:pPr>
              <w:spacing w:after="0" w:line="240" w:lineRule="auto"/>
              <w:jc w:val="center"/>
            </w:pPr>
            <w:r>
              <w:t>BIO/14</w:t>
            </w:r>
          </w:p>
        </w:tc>
        <w:tc>
          <w:tcPr>
            <w:tcW w:w="402" w:type="pct"/>
            <w:shd w:val="clear" w:color="auto" w:fill="FFFFFF" w:themeFill="background1"/>
          </w:tcPr>
          <w:p w14:paraId="75CE8E20" w14:textId="77777777" w:rsidR="004D47D4" w:rsidRDefault="004D47D4" w:rsidP="00B077BC">
            <w:pPr>
              <w:spacing w:after="0" w:line="240" w:lineRule="auto"/>
              <w:jc w:val="center"/>
            </w:pPr>
            <w:r>
              <w:t>1 CFU</w:t>
            </w:r>
          </w:p>
          <w:p w14:paraId="45F8D66D" w14:textId="0607E57C" w:rsidR="004D47D4" w:rsidRDefault="004D47D4" w:rsidP="00B077BC">
            <w:pPr>
              <w:spacing w:after="0" w:line="240" w:lineRule="auto"/>
              <w:jc w:val="center"/>
            </w:pPr>
            <w:r>
              <w:t>30 ore</w:t>
            </w:r>
          </w:p>
        </w:tc>
        <w:tc>
          <w:tcPr>
            <w:tcW w:w="603" w:type="pct"/>
            <w:shd w:val="clear" w:color="auto" w:fill="FFFFFF" w:themeFill="background1"/>
          </w:tcPr>
          <w:p w14:paraId="7646ED49" w14:textId="69C209C4" w:rsidR="004D47D4" w:rsidRPr="00501F34" w:rsidRDefault="004D47D4" w:rsidP="00B077BC">
            <w:pPr>
              <w:spacing w:after="0" w:line="240" w:lineRule="auto"/>
              <w:jc w:val="center"/>
              <w:rPr>
                <w:sz w:val="20"/>
                <w:szCs w:val="20"/>
                <w:lang w:bidi="x-none"/>
              </w:rPr>
            </w:pPr>
          </w:p>
        </w:tc>
      </w:tr>
      <w:tr w:rsidR="00B077BC" w:rsidRPr="00DD653D" w14:paraId="3EE37609" w14:textId="77777777" w:rsidTr="005934C8">
        <w:trPr>
          <w:trHeight w:val="411"/>
        </w:trPr>
        <w:tc>
          <w:tcPr>
            <w:tcW w:w="4397" w:type="pct"/>
            <w:gridSpan w:val="4"/>
            <w:shd w:val="clear" w:color="auto" w:fill="FFFFFF" w:themeFill="background1"/>
          </w:tcPr>
          <w:p w14:paraId="19A7A76B" w14:textId="102F6A26" w:rsidR="00B077BC" w:rsidRPr="00DD653D" w:rsidRDefault="00B077BC" w:rsidP="00B077BC">
            <w:pPr>
              <w:shd w:val="clear" w:color="auto" w:fill="FFFFFF" w:themeFill="background1"/>
              <w:spacing w:after="0" w:line="240" w:lineRule="auto"/>
              <w:rPr>
                <w:b/>
                <w:sz w:val="24"/>
                <w:szCs w:val="24"/>
                <w:highlight w:val="yellow"/>
              </w:rPr>
            </w:pPr>
            <w:r w:rsidRPr="00DD653D">
              <w:rPr>
                <w:rFonts w:asciiTheme="majorHAnsi" w:hAnsiTheme="majorHAnsi"/>
                <w:b/>
                <w:sz w:val="24"/>
                <w:szCs w:val="24"/>
                <w:u w:val="single"/>
              </w:rPr>
              <w:t>FARMACOVIGILANZA E DISPOSITIVOVIGILANZA</w:t>
            </w:r>
          </w:p>
        </w:tc>
        <w:tc>
          <w:tcPr>
            <w:tcW w:w="603" w:type="pct"/>
            <w:shd w:val="clear" w:color="auto" w:fill="FFFFFF" w:themeFill="background1"/>
          </w:tcPr>
          <w:p w14:paraId="4FCE7821" w14:textId="77777777" w:rsidR="00B077BC" w:rsidRPr="00DD653D" w:rsidRDefault="00B077BC" w:rsidP="00B077BC">
            <w:pPr>
              <w:shd w:val="clear" w:color="auto" w:fill="FFFFFF" w:themeFill="background1"/>
              <w:spacing w:after="0" w:line="240" w:lineRule="auto"/>
              <w:rPr>
                <w:rFonts w:asciiTheme="majorHAnsi" w:hAnsiTheme="majorHAnsi"/>
                <w:sz w:val="20"/>
                <w:szCs w:val="20"/>
                <w:highlight w:val="yellow"/>
                <w:u w:val="single"/>
              </w:rPr>
            </w:pPr>
          </w:p>
        </w:tc>
      </w:tr>
      <w:tr w:rsidR="00B077BC" w:rsidRPr="00DD653D" w14:paraId="590D45B3" w14:textId="77777777" w:rsidTr="00DD653D">
        <w:trPr>
          <w:trHeight w:val="1084"/>
        </w:trPr>
        <w:tc>
          <w:tcPr>
            <w:tcW w:w="2062" w:type="pct"/>
            <w:shd w:val="clear" w:color="auto" w:fill="FFFFFF" w:themeFill="background1"/>
          </w:tcPr>
          <w:p w14:paraId="0746F549" w14:textId="52030AD3" w:rsidR="00B077BC" w:rsidRPr="00DD653D" w:rsidRDefault="00B077BC" w:rsidP="00B077BC">
            <w:pPr>
              <w:autoSpaceDE w:val="0"/>
              <w:autoSpaceDN w:val="0"/>
              <w:adjustRightInd w:val="0"/>
              <w:spacing w:after="0" w:line="240" w:lineRule="auto"/>
              <w:jc w:val="both"/>
              <w:rPr>
                <w:rFonts w:asciiTheme="majorHAnsi" w:hAnsiTheme="majorHAnsi" w:cs="Tahoma"/>
                <w:i/>
                <w:highlight w:val="yellow"/>
              </w:rPr>
            </w:pPr>
            <w:r w:rsidRPr="009E0811">
              <w:rPr>
                <w:i/>
                <w:lang w:eastAsia="ja-JP"/>
              </w:rPr>
              <w:t xml:space="preserve">Gestione dei flussi informativi inerenti </w:t>
            </w:r>
            <w:proofErr w:type="gramStart"/>
            <w:r w:rsidRPr="009E0811">
              <w:rPr>
                <w:i/>
                <w:lang w:eastAsia="ja-JP"/>
              </w:rPr>
              <w:t>il</w:t>
            </w:r>
            <w:proofErr w:type="gramEnd"/>
            <w:r w:rsidRPr="009E0811">
              <w:rPr>
                <w:i/>
                <w:lang w:eastAsia="ja-JP"/>
              </w:rPr>
              <w:t xml:space="preserve"> sistema di farmacovigilanza, quali la segnalazione spontanea delle </w:t>
            </w:r>
            <w:proofErr w:type="spellStart"/>
            <w:r w:rsidRPr="009E0811">
              <w:rPr>
                <w:i/>
                <w:lang w:eastAsia="ja-JP"/>
              </w:rPr>
              <w:t>ADRs</w:t>
            </w:r>
            <w:proofErr w:type="spellEnd"/>
            <w:r w:rsidRPr="009E0811">
              <w:rPr>
                <w:i/>
                <w:lang w:eastAsia="ja-JP"/>
              </w:rPr>
              <w:t>, il sistema nazionale di registrazione, i principali siti informativi, il sistema di al</w:t>
            </w:r>
            <w:r>
              <w:rPr>
                <w:i/>
                <w:lang w:eastAsia="ja-JP"/>
              </w:rPr>
              <w:t>lerta nazionale e locale:</w:t>
            </w:r>
            <w:r w:rsidRPr="009E0811">
              <w:rPr>
                <w:i/>
                <w:lang w:eastAsia="ja-JP"/>
              </w:rPr>
              <w:t xml:space="preserve"> 100 ore</w:t>
            </w:r>
            <w:r w:rsidRPr="0003287A">
              <w:rPr>
                <w:i/>
                <w:lang w:eastAsia="ja-JP"/>
              </w:rPr>
              <w:t xml:space="preserve">. </w:t>
            </w:r>
            <w:r w:rsidRPr="0003287A">
              <w:rPr>
                <w:lang w:eastAsia="ja-JP"/>
              </w:rPr>
              <w:t>(120 ore)</w:t>
            </w:r>
          </w:p>
        </w:tc>
        <w:tc>
          <w:tcPr>
            <w:tcW w:w="1552" w:type="pct"/>
            <w:shd w:val="clear" w:color="auto" w:fill="FFFFFF" w:themeFill="background1"/>
          </w:tcPr>
          <w:p w14:paraId="483CAD16" w14:textId="10D5CDB2" w:rsidR="00B077BC" w:rsidRPr="00DD653D" w:rsidRDefault="00B077BC" w:rsidP="00B077BC">
            <w:pPr>
              <w:shd w:val="clear" w:color="auto" w:fill="FFFFFF" w:themeFill="background1"/>
              <w:spacing w:after="240" w:line="240" w:lineRule="auto"/>
              <w:jc w:val="center"/>
              <w:rPr>
                <w:sz w:val="20"/>
                <w:szCs w:val="20"/>
              </w:rPr>
            </w:pPr>
            <w:r w:rsidRPr="00DD653D">
              <w:rPr>
                <w:sz w:val="20"/>
                <w:szCs w:val="20"/>
              </w:rPr>
              <w:t>C.I. FARMACOVIGILANZA E DISPOSITIVOVIGILANZA II</w:t>
            </w:r>
          </w:p>
          <w:p w14:paraId="5AC90E57" w14:textId="4149D405" w:rsidR="00B077BC" w:rsidRPr="00DD653D" w:rsidRDefault="00B077BC" w:rsidP="00B077BC">
            <w:pPr>
              <w:spacing w:after="240" w:line="240" w:lineRule="auto"/>
              <w:jc w:val="center"/>
              <w:rPr>
                <w:sz w:val="20"/>
                <w:szCs w:val="20"/>
                <w:highlight w:val="yellow"/>
              </w:rPr>
            </w:pPr>
            <w:r w:rsidRPr="00DD653D">
              <w:rPr>
                <w:sz w:val="20"/>
                <w:szCs w:val="20"/>
              </w:rPr>
              <w:t xml:space="preserve">Gestione dei flussi informativi di farmacovigilanza e </w:t>
            </w:r>
            <w:proofErr w:type="spellStart"/>
            <w:r w:rsidRPr="00DD653D">
              <w:rPr>
                <w:sz w:val="20"/>
                <w:szCs w:val="20"/>
              </w:rPr>
              <w:t>dispositivovigilanza</w:t>
            </w:r>
            <w:proofErr w:type="spellEnd"/>
          </w:p>
        </w:tc>
        <w:tc>
          <w:tcPr>
            <w:tcW w:w="381" w:type="pct"/>
            <w:shd w:val="clear" w:color="auto" w:fill="FFFFFF" w:themeFill="background1"/>
          </w:tcPr>
          <w:p w14:paraId="6E380847" w14:textId="77777777" w:rsidR="00B077BC" w:rsidRPr="00DD653D" w:rsidRDefault="00B077BC" w:rsidP="00B077BC">
            <w:pPr>
              <w:spacing w:after="0" w:line="240" w:lineRule="auto"/>
              <w:jc w:val="center"/>
              <w:rPr>
                <w:highlight w:val="yellow"/>
              </w:rPr>
            </w:pPr>
            <w:r w:rsidRPr="00DD653D">
              <w:t>BIO/14</w:t>
            </w:r>
          </w:p>
        </w:tc>
        <w:tc>
          <w:tcPr>
            <w:tcW w:w="402" w:type="pct"/>
            <w:shd w:val="clear" w:color="auto" w:fill="FFFFFF" w:themeFill="background1"/>
          </w:tcPr>
          <w:p w14:paraId="76A2827A" w14:textId="62DAF820" w:rsidR="00B077BC" w:rsidRPr="00DD653D" w:rsidRDefault="00B077BC" w:rsidP="00B077BC">
            <w:pPr>
              <w:shd w:val="clear" w:color="auto" w:fill="FFFFFF" w:themeFill="background1"/>
              <w:spacing w:after="0" w:line="240" w:lineRule="auto"/>
              <w:jc w:val="center"/>
            </w:pPr>
            <w:r w:rsidRPr="00DD653D">
              <w:t>4 CFU</w:t>
            </w:r>
          </w:p>
          <w:p w14:paraId="537477BB" w14:textId="61AAC621" w:rsidR="00B077BC" w:rsidRPr="00DD653D" w:rsidRDefault="00B077BC" w:rsidP="00B077BC">
            <w:pPr>
              <w:spacing w:after="0" w:line="240" w:lineRule="auto"/>
              <w:jc w:val="center"/>
              <w:rPr>
                <w:highlight w:val="yellow"/>
              </w:rPr>
            </w:pPr>
            <w:r w:rsidRPr="00DD653D">
              <w:t>120 ore</w:t>
            </w:r>
          </w:p>
        </w:tc>
        <w:tc>
          <w:tcPr>
            <w:tcW w:w="603" w:type="pct"/>
            <w:shd w:val="clear" w:color="auto" w:fill="FFFFFF" w:themeFill="background1"/>
          </w:tcPr>
          <w:p w14:paraId="3622330D" w14:textId="0C7A332F" w:rsidR="00B077BC" w:rsidRPr="00DD653D" w:rsidRDefault="00B077BC" w:rsidP="00B077BC">
            <w:pPr>
              <w:spacing w:after="0" w:line="240" w:lineRule="auto"/>
              <w:jc w:val="center"/>
              <w:rPr>
                <w:sz w:val="20"/>
                <w:szCs w:val="20"/>
                <w:highlight w:val="yellow"/>
                <w:lang w:bidi="x-none"/>
              </w:rPr>
            </w:pPr>
          </w:p>
        </w:tc>
      </w:tr>
      <w:tr w:rsidR="00B077BC" w:rsidRPr="00DD653D" w14:paraId="55C796A4" w14:textId="77777777" w:rsidTr="00DD653D">
        <w:trPr>
          <w:trHeight w:val="1011"/>
        </w:trPr>
        <w:tc>
          <w:tcPr>
            <w:tcW w:w="2062" w:type="pct"/>
            <w:shd w:val="clear" w:color="auto" w:fill="FFFFFF" w:themeFill="background1"/>
          </w:tcPr>
          <w:p w14:paraId="00F02C26" w14:textId="73403C53" w:rsidR="00B077BC" w:rsidRPr="009E0811" w:rsidRDefault="00B077BC" w:rsidP="00B077BC">
            <w:pPr>
              <w:autoSpaceDE w:val="0"/>
              <w:autoSpaceDN w:val="0"/>
              <w:adjustRightInd w:val="0"/>
              <w:spacing w:after="0" w:line="240" w:lineRule="auto"/>
              <w:jc w:val="both"/>
              <w:rPr>
                <w:i/>
                <w:lang w:eastAsia="ja-JP"/>
              </w:rPr>
            </w:pPr>
            <w:r w:rsidRPr="009E0811">
              <w:rPr>
                <w:i/>
              </w:rPr>
              <w:t>Produzione di</w:t>
            </w:r>
            <w:r>
              <w:rPr>
                <w:i/>
              </w:rPr>
              <w:t xml:space="preserve"> almeno 2</w:t>
            </w:r>
            <w:r w:rsidRPr="009E0811">
              <w:rPr>
                <w:i/>
              </w:rPr>
              <w:t xml:space="preserve"> reports informativi di feed-back destinati ai m</w:t>
            </w:r>
            <w:r>
              <w:rPr>
                <w:i/>
              </w:rPr>
              <w:t>edici ed operatori sanitari</w:t>
            </w:r>
            <w:r w:rsidRPr="0003287A">
              <w:rPr>
                <w:i/>
              </w:rPr>
              <w:t>.</w:t>
            </w:r>
            <w:r w:rsidR="00585AED">
              <w:rPr>
                <w:i/>
              </w:rPr>
              <w:t xml:space="preserve"> </w:t>
            </w:r>
            <w:r w:rsidRPr="005D1065">
              <w:t>(2 reports</w:t>
            </w:r>
            <w:r>
              <w:t>;</w:t>
            </w:r>
            <w:r w:rsidRPr="0003287A">
              <w:t xml:space="preserve"> 120 ore)</w:t>
            </w:r>
          </w:p>
        </w:tc>
        <w:tc>
          <w:tcPr>
            <w:tcW w:w="1552" w:type="pct"/>
            <w:shd w:val="clear" w:color="auto" w:fill="FFFFFF" w:themeFill="background1"/>
          </w:tcPr>
          <w:p w14:paraId="09D8182B" w14:textId="77777777" w:rsidR="00B077BC" w:rsidRPr="00DD653D" w:rsidRDefault="00B077BC" w:rsidP="00B077BC">
            <w:pPr>
              <w:shd w:val="clear" w:color="auto" w:fill="FFFFFF" w:themeFill="background1"/>
              <w:spacing w:after="240" w:line="240" w:lineRule="auto"/>
              <w:jc w:val="center"/>
              <w:rPr>
                <w:sz w:val="20"/>
                <w:szCs w:val="20"/>
              </w:rPr>
            </w:pPr>
            <w:r w:rsidRPr="00DD653D">
              <w:rPr>
                <w:sz w:val="20"/>
                <w:szCs w:val="20"/>
              </w:rPr>
              <w:t>C.I. FARMACOVIGILANZA E DISPOSITIVOVIGILANZA II</w:t>
            </w:r>
          </w:p>
          <w:p w14:paraId="18DA682D" w14:textId="4688D85A" w:rsidR="00B077BC" w:rsidRPr="00DD653D" w:rsidRDefault="00B077BC" w:rsidP="00B077BC">
            <w:pPr>
              <w:shd w:val="clear" w:color="auto" w:fill="FFFFFF" w:themeFill="background1"/>
              <w:spacing w:after="0" w:line="240" w:lineRule="auto"/>
              <w:jc w:val="center"/>
              <w:rPr>
                <w:sz w:val="20"/>
                <w:szCs w:val="20"/>
              </w:rPr>
            </w:pPr>
            <w:r w:rsidRPr="00DD653D">
              <w:rPr>
                <w:sz w:val="20"/>
                <w:szCs w:val="20"/>
              </w:rPr>
              <w:t xml:space="preserve">Raccolta </w:t>
            </w:r>
            <w:proofErr w:type="gramStart"/>
            <w:r w:rsidRPr="00DD653D">
              <w:rPr>
                <w:sz w:val="20"/>
                <w:szCs w:val="20"/>
              </w:rPr>
              <w:t>dati  e</w:t>
            </w:r>
            <w:proofErr w:type="gramEnd"/>
            <w:r w:rsidRPr="00DD653D">
              <w:rPr>
                <w:sz w:val="20"/>
                <w:szCs w:val="20"/>
              </w:rPr>
              <w:t xml:space="preserve"> produzione di reports informativi destinati a sanitari</w:t>
            </w:r>
          </w:p>
        </w:tc>
        <w:tc>
          <w:tcPr>
            <w:tcW w:w="381" w:type="pct"/>
            <w:shd w:val="clear" w:color="auto" w:fill="FFFFFF" w:themeFill="background1"/>
          </w:tcPr>
          <w:p w14:paraId="0DDB4CEF" w14:textId="3BA83E5C" w:rsidR="00B077BC" w:rsidRPr="00DD653D" w:rsidRDefault="00B077BC" w:rsidP="00B077BC">
            <w:pPr>
              <w:spacing w:after="0" w:line="240" w:lineRule="auto"/>
              <w:jc w:val="center"/>
            </w:pPr>
            <w:r>
              <w:t>CHIM/08</w:t>
            </w:r>
          </w:p>
        </w:tc>
        <w:tc>
          <w:tcPr>
            <w:tcW w:w="402" w:type="pct"/>
            <w:shd w:val="clear" w:color="auto" w:fill="FFFFFF" w:themeFill="background1"/>
          </w:tcPr>
          <w:p w14:paraId="406D3327" w14:textId="77777777" w:rsidR="00B077BC" w:rsidRDefault="00B077BC" w:rsidP="00B077BC">
            <w:pPr>
              <w:shd w:val="clear" w:color="auto" w:fill="FFFFFF" w:themeFill="background1"/>
              <w:spacing w:after="0" w:line="240" w:lineRule="auto"/>
              <w:jc w:val="center"/>
            </w:pPr>
            <w:r>
              <w:t>4 CFU</w:t>
            </w:r>
          </w:p>
          <w:p w14:paraId="31232FD9" w14:textId="774C030B" w:rsidR="00B077BC" w:rsidRPr="00DD653D" w:rsidRDefault="00B077BC" w:rsidP="00B077BC">
            <w:pPr>
              <w:shd w:val="clear" w:color="auto" w:fill="FFFFFF" w:themeFill="background1"/>
              <w:spacing w:after="0" w:line="240" w:lineRule="auto"/>
              <w:jc w:val="center"/>
            </w:pPr>
            <w:r>
              <w:t>120 ore</w:t>
            </w:r>
          </w:p>
        </w:tc>
        <w:tc>
          <w:tcPr>
            <w:tcW w:w="603" w:type="pct"/>
            <w:shd w:val="clear" w:color="auto" w:fill="FFFFFF" w:themeFill="background1"/>
          </w:tcPr>
          <w:p w14:paraId="2DEF70D0" w14:textId="470A41F4" w:rsidR="00B077BC" w:rsidRPr="00DD653D" w:rsidRDefault="00B077BC" w:rsidP="00B077BC">
            <w:pPr>
              <w:spacing w:after="0" w:line="240" w:lineRule="auto"/>
              <w:jc w:val="center"/>
              <w:rPr>
                <w:sz w:val="20"/>
                <w:szCs w:val="20"/>
                <w:lang w:bidi="x-none"/>
              </w:rPr>
            </w:pPr>
          </w:p>
        </w:tc>
      </w:tr>
      <w:tr w:rsidR="00B077BC" w:rsidRPr="00DD653D" w14:paraId="0F89F32B" w14:textId="77777777" w:rsidTr="005934C8">
        <w:trPr>
          <w:trHeight w:val="368"/>
        </w:trPr>
        <w:tc>
          <w:tcPr>
            <w:tcW w:w="5000" w:type="pct"/>
            <w:gridSpan w:val="5"/>
            <w:shd w:val="clear" w:color="auto" w:fill="FFFFFF" w:themeFill="background1"/>
          </w:tcPr>
          <w:p w14:paraId="6D37C4E8" w14:textId="38502FF1" w:rsidR="00B077BC" w:rsidRPr="007F298F" w:rsidRDefault="00B077BC" w:rsidP="00B077BC">
            <w:pPr>
              <w:spacing w:after="0" w:line="240" w:lineRule="auto"/>
              <w:rPr>
                <w:sz w:val="20"/>
                <w:szCs w:val="20"/>
                <w:lang w:bidi="x-none"/>
              </w:rPr>
            </w:pPr>
            <w:r w:rsidRPr="007F298F">
              <w:rPr>
                <w:rFonts w:asciiTheme="majorHAnsi" w:hAnsiTheme="majorHAnsi"/>
                <w:b/>
                <w:sz w:val="24"/>
                <w:szCs w:val="24"/>
                <w:u w:val="single"/>
              </w:rPr>
              <w:t>GESTIONE DEI FARMACI E DEI DM</w:t>
            </w:r>
          </w:p>
        </w:tc>
      </w:tr>
      <w:tr w:rsidR="00B077BC" w:rsidRPr="00DD653D" w14:paraId="64649377" w14:textId="77777777" w:rsidTr="00DD653D">
        <w:trPr>
          <w:trHeight w:val="982"/>
        </w:trPr>
        <w:tc>
          <w:tcPr>
            <w:tcW w:w="2062" w:type="pct"/>
            <w:shd w:val="clear" w:color="auto" w:fill="FFFFFF" w:themeFill="background1"/>
          </w:tcPr>
          <w:p w14:paraId="3A4267E7" w14:textId="02573790" w:rsidR="00B077BC" w:rsidRPr="00DD653D" w:rsidRDefault="00B077BC" w:rsidP="00B077BC">
            <w:pPr>
              <w:autoSpaceDE w:val="0"/>
              <w:autoSpaceDN w:val="0"/>
              <w:adjustRightInd w:val="0"/>
              <w:spacing w:after="0" w:line="240" w:lineRule="auto"/>
              <w:jc w:val="both"/>
              <w:rPr>
                <w:highlight w:val="yellow"/>
              </w:rPr>
            </w:pPr>
            <w:r w:rsidRPr="00D053C0">
              <w:rPr>
                <w:i/>
              </w:rPr>
              <w:lastRenderedPageBreak/>
              <w:t xml:space="preserve">Attività di monitoraggio finalizzata al controllo direzionale per centri di costo: almeno 200 ore con elaborazione di almeno 3 </w:t>
            </w:r>
            <w:r w:rsidRPr="002D75CA">
              <w:rPr>
                <w:i/>
              </w:rPr>
              <w:t>reports.</w:t>
            </w:r>
            <w:r w:rsidR="00585AED">
              <w:rPr>
                <w:i/>
              </w:rPr>
              <w:t xml:space="preserve"> </w:t>
            </w:r>
            <w:r w:rsidRPr="002D75CA">
              <w:t>(3 reports</w:t>
            </w:r>
            <w:r>
              <w:t xml:space="preserve">; </w:t>
            </w:r>
            <w:r w:rsidRPr="0003287A">
              <w:t>30 ore)</w:t>
            </w:r>
          </w:p>
        </w:tc>
        <w:tc>
          <w:tcPr>
            <w:tcW w:w="1552" w:type="pct"/>
            <w:shd w:val="clear" w:color="auto" w:fill="FFFFFF" w:themeFill="background1"/>
          </w:tcPr>
          <w:p w14:paraId="431231C6" w14:textId="77777777" w:rsidR="00B077BC" w:rsidRPr="00DD653D" w:rsidRDefault="00B077BC" w:rsidP="00B077BC">
            <w:pPr>
              <w:spacing w:after="240" w:line="240" w:lineRule="auto"/>
              <w:jc w:val="center"/>
              <w:rPr>
                <w:sz w:val="20"/>
                <w:szCs w:val="20"/>
              </w:rPr>
            </w:pPr>
            <w:r w:rsidRPr="00DD653D">
              <w:rPr>
                <w:sz w:val="20"/>
                <w:szCs w:val="20"/>
              </w:rPr>
              <w:t>C.I.  STRUMENTI DI GESTIONE OPERATIVA, CLINICO-TERAPEUTICA ED ECONOMICA II</w:t>
            </w:r>
          </w:p>
          <w:p w14:paraId="2209B7A1" w14:textId="2C0C3E2A" w:rsidR="00B077BC" w:rsidRPr="00DD653D" w:rsidRDefault="00B077BC" w:rsidP="00B077BC">
            <w:pPr>
              <w:spacing w:after="0"/>
              <w:jc w:val="center"/>
              <w:rPr>
                <w:sz w:val="20"/>
                <w:szCs w:val="20"/>
                <w:highlight w:val="yellow"/>
              </w:rPr>
            </w:pPr>
            <w:r w:rsidRPr="00DD653D">
              <w:rPr>
                <w:sz w:val="20"/>
                <w:szCs w:val="20"/>
              </w:rPr>
              <w:t xml:space="preserve">Analisi </w:t>
            </w:r>
            <w:proofErr w:type="spellStart"/>
            <w:r w:rsidRPr="00DD653D">
              <w:rPr>
                <w:sz w:val="20"/>
                <w:szCs w:val="20"/>
              </w:rPr>
              <w:t>farmacoeconomiche</w:t>
            </w:r>
            <w:proofErr w:type="spellEnd"/>
          </w:p>
        </w:tc>
        <w:tc>
          <w:tcPr>
            <w:tcW w:w="381" w:type="pct"/>
            <w:shd w:val="clear" w:color="auto" w:fill="FFFFFF" w:themeFill="background1"/>
          </w:tcPr>
          <w:p w14:paraId="69D654BB" w14:textId="77777777" w:rsidR="00B077BC" w:rsidRPr="00DD653D" w:rsidRDefault="00B077BC" w:rsidP="00B077BC">
            <w:pPr>
              <w:spacing w:after="0" w:line="240" w:lineRule="auto"/>
              <w:jc w:val="center"/>
            </w:pPr>
            <w:r w:rsidRPr="00DD653D">
              <w:t>CHIM/09</w:t>
            </w:r>
          </w:p>
          <w:p w14:paraId="5E7D8171" w14:textId="77777777" w:rsidR="00B077BC" w:rsidRPr="00DD653D" w:rsidRDefault="00B077BC" w:rsidP="00B077BC">
            <w:pPr>
              <w:spacing w:after="0" w:line="240" w:lineRule="auto"/>
              <w:jc w:val="center"/>
            </w:pPr>
          </w:p>
        </w:tc>
        <w:tc>
          <w:tcPr>
            <w:tcW w:w="402" w:type="pct"/>
            <w:shd w:val="clear" w:color="auto" w:fill="FFFFFF" w:themeFill="background1"/>
          </w:tcPr>
          <w:p w14:paraId="0FDBC164" w14:textId="28F43A9E" w:rsidR="00B077BC" w:rsidRPr="00DD653D" w:rsidRDefault="00B077BC" w:rsidP="00B077BC">
            <w:pPr>
              <w:spacing w:after="0" w:line="240" w:lineRule="auto"/>
              <w:jc w:val="center"/>
            </w:pPr>
            <w:r>
              <w:t>1</w:t>
            </w:r>
            <w:r w:rsidRPr="00DD653D">
              <w:t xml:space="preserve"> CFU</w:t>
            </w:r>
          </w:p>
          <w:p w14:paraId="7C96DE09" w14:textId="200F89CD" w:rsidR="00B077BC" w:rsidRPr="00DD653D" w:rsidRDefault="00B077BC" w:rsidP="00B077BC">
            <w:pPr>
              <w:tabs>
                <w:tab w:val="num" w:pos="465"/>
              </w:tabs>
              <w:spacing w:after="60" w:line="240" w:lineRule="auto"/>
              <w:jc w:val="center"/>
              <w:rPr>
                <w:b/>
                <w:u w:val="single"/>
              </w:rPr>
            </w:pPr>
            <w:r>
              <w:t>30</w:t>
            </w:r>
            <w:r w:rsidRPr="00DD653D">
              <w:t xml:space="preserve"> ore</w:t>
            </w:r>
          </w:p>
        </w:tc>
        <w:tc>
          <w:tcPr>
            <w:tcW w:w="603" w:type="pct"/>
            <w:shd w:val="clear" w:color="auto" w:fill="FFFFFF" w:themeFill="background1"/>
          </w:tcPr>
          <w:p w14:paraId="42D0EEC3" w14:textId="6F910A19" w:rsidR="00B077BC" w:rsidRPr="00DD653D" w:rsidRDefault="00B077BC" w:rsidP="00B077BC">
            <w:pPr>
              <w:spacing w:after="0" w:line="240" w:lineRule="auto"/>
              <w:jc w:val="center"/>
              <w:rPr>
                <w:sz w:val="20"/>
                <w:szCs w:val="20"/>
              </w:rPr>
            </w:pPr>
          </w:p>
        </w:tc>
      </w:tr>
      <w:tr w:rsidR="004D47D4" w:rsidRPr="00DD653D" w14:paraId="555B43CE" w14:textId="77777777" w:rsidTr="004D47D4">
        <w:trPr>
          <w:trHeight w:val="1698"/>
        </w:trPr>
        <w:tc>
          <w:tcPr>
            <w:tcW w:w="2062" w:type="pct"/>
            <w:shd w:val="clear" w:color="auto" w:fill="FFFFFF" w:themeFill="background1"/>
          </w:tcPr>
          <w:p w14:paraId="017A3A44" w14:textId="7E1538F4" w:rsidR="004D47D4" w:rsidRPr="00DD653D" w:rsidRDefault="004D47D4" w:rsidP="004D47D4">
            <w:pPr>
              <w:widowControl w:val="0"/>
              <w:autoSpaceDE w:val="0"/>
              <w:autoSpaceDN w:val="0"/>
              <w:adjustRightInd w:val="0"/>
              <w:spacing w:after="0" w:line="240" w:lineRule="auto"/>
              <w:jc w:val="both"/>
              <w:rPr>
                <w:sz w:val="16"/>
                <w:szCs w:val="16"/>
                <w:highlight w:val="yellow"/>
              </w:rPr>
            </w:pPr>
            <w:r w:rsidRPr="004D47D4">
              <w:rPr>
                <w:i/>
                <w:lang w:eastAsia="ja-JP"/>
              </w:rPr>
              <w:t xml:space="preserve">Partecipazione alle attività di gestione del Prontuario Terapeutico e del Repertorio dei Dispositivi medici e applicazione principi HTA (Health Technology </w:t>
            </w:r>
            <w:proofErr w:type="spellStart"/>
            <w:r w:rsidRPr="004D47D4">
              <w:rPr>
                <w:i/>
                <w:lang w:eastAsia="ja-JP"/>
              </w:rPr>
              <w:t>Assessment</w:t>
            </w:r>
            <w:proofErr w:type="spellEnd"/>
            <w:r w:rsidRPr="004D47D4">
              <w:rPr>
                <w:i/>
                <w:lang w:eastAsia="ja-JP"/>
              </w:rPr>
              <w:t>) comprendenti le valutazioni di almeno 10 richieste di inserimento di nuovi farmaci e 5 dispositivi medici, per un totale di almeno 350 ore</w:t>
            </w:r>
            <w:r w:rsidRPr="004D47D4">
              <w:rPr>
                <w:lang w:eastAsia="ja-JP"/>
              </w:rPr>
              <w:t>. (10 richieste di DM, 180 ore)</w:t>
            </w:r>
            <w:r w:rsidRPr="004D47D4">
              <w:rPr>
                <w:b/>
                <w:lang w:eastAsia="ja-JP"/>
              </w:rPr>
              <w:t xml:space="preserve"> </w:t>
            </w:r>
            <w:r w:rsidRPr="004D47D4">
              <w:t xml:space="preserve"> </w:t>
            </w:r>
          </w:p>
        </w:tc>
        <w:tc>
          <w:tcPr>
            <w:tcW w:w="1552" w:type="pct"/>
            <w:shd w:val="clear" w:color="auto" w:fill="FFFFFF" w:themeFill="background1"/>
          </w:tcPr>
          <w:p w14:paraId="4919E3BF" w14:textId="015EF663" w:rsidR="004D47D4" w:rsidRPr="004D47D4" w:rsidRDefault="004D47D4" w:rsidP="00B077BC">
            <w:pPr>
              <w:spacing w:after="240" w:line="240" w:lineRule="auto"/>
              <w:jc w:val="center"/>
              <w:rPr>
                <w:sz w:val="20"/>
                <w:szCs w:val="20"/>
              </w:rPr>
            </w:pPr>
            <w:r w:rsidRPr="004D47D4">
              <w:rPr>
                <w:sz w:val="20"/>
                <w:szCs w:val="20"/>
              </w:rPr>
              <w:t>C.I. AREA GESTIONALE E DI GOVERNO CLINICO II</w:t>
            </w:r>
          </w:p>
          <w:p w14:paraId="009F175B" w14:textId="1CE38444" w:rsidR="004D47D4" w:rsidRPr="004D47D4" w:rsidRDefault="004D47D4" w:rsidP="004D47D4">
            <w:pPr>
              <w:spacing w:after="0" w:line="240" w:lineRule="auto"/>
              <w:jc w:val="center"/>
              <w:rPr>
                <w:sz w:val="20"/>
                <w:szCs w:val="20"/>
                <w:highlight w:val="yellow"/>
                <w:u w:val="single"/>
              </w:rPr>
            </w:pPr>
            <w:r w:rsidRPr="004D47D4">
              <w:rPr>
                <w:sz w:val="20"/>
                <w:szCs w:val="20"/>
              </w:rPr>
              <w:t>Partecipazione alla gestione del prontuario terapeutico e del repertorio dei dispositivi medici I</w:t>
            </w:r>
          </w:p>
        </w:tc>
        <w:tc>
          <w:tcPr>
            <w:tcW w:w="381" w:type="pct"/>
            <w:shd w:val="clear" w:color="auto" w:fill="auto"/>
          </w:tcPr>
          <w:p w14:paraId="724FB4D4" w14:textId="488118F0" w:rsidR="004D47D4" w:rsidRPr="004D47D4" w:rsidRDefault="004D47D4" w:rsidP="00B077BC">
            <w:pPr>
              <w:spacing w:after="0" w:line="240" w:lineRule="auto"/>
              <w:jc w:val="center"/>
            </w:pPr>
            <w:r w:rsidRPr="004D47D4">
              <w:t>CHIM/09</w:t>
            </w:r>
          </w:p>
          <w:p w14:paraId="76D92C3F" w14:textId="77777777" w:rsidR="004D47D4" w:rsidRPr="004D47D4" w:rsidRDefault="004D47D4" w:rsidP="00B077BC">
            <w:pPr>
              <w:spacing w:after="0" w:line="240" w:lineRule="auto"/>
              <w:jc w:val="center"/>
            </w:pPr>
          </w:p>
        </w:tc>
        <w:tc>
          <w:tcPr>
            <w:tcW w:w="402" w:type="pct"/>
            <w:shd w:val="clear" w:color="auto" w:fill="auto"/>
          </w:tcPr>
          <w:p w14:paraId="04836EE4" w14:textId="5E3FCA96" w:rsidR="004D47D4" w:rsidRPr="004D47D4" w:rsidRDefault="004D47D4" w:rsidP="00B077BC">
            <w:pPr>
              <w:spacing w:after="0" w:line="240" w:lineRule="auto"/>
              <w:jc w:val="center"/>
            </w:pPr>
            <w:r w:rsidRPr="004D47D4">
              <w:t>6 CFU</w:t>
            </w:r>
          </w:p>
          <w:p w14:paraId="4141DA00" w14:textId="0442852F" w:rsidR="004D47D4" w:rsidRPr="004D47D4" w:rsidRDefault="004D47D4" w:rsidP="00B077BC">
            <w:pPr>
              <w:tabs>
                <w:tab w:val="num" w:pos="465"/>
              </w:tabs>
              <w:spacing w:after="60" w:line="240" w:lineRule="auto"/>
              <w:jc w:val="center"/>
              <w:rPr>
                <w:b/>
                <w:u w:val="single"/>
              </w:rPr>
            </w:pPr>
            <w:r w:rsidRPr="004D47D4">
              <w:t>180ore</w:t>
            </w:r>
          </w:p>
        </w:tc>
        <w:tc>
          <w:tcPr>
            <w:tcW w:w="603" w:type="pct"/>
            <w:shd w:val="clear" w:color="auto" w:fill="auto"/>
          </w:tcPr>
          <w:p w14:paraId="1654FC2F" w14:textId="2A3D66D5" w:rsidR="004D47D4" w:rsidRPr="004D47D4" w:rsidRDefault="004D47D4" w:rsidP="00B077BC">
            <w:pPr>
              <w:spacing w:after="0" w:line="240" w:lineRule="auto"/>
              <w:jc w:val="center"/>
              <w:rPr>
                <w:sz w:val="20"/>
                <w:szCs w:val="20"/>
              </w:rPr>
            </w:pPr>
          </w:p>
        </w:tc>
      </w:tr>
      <w:tr w:rsidR="00B077BC" w:rsidRPr="00DD653D" w14:paraId="35C32C2A" w14:textId="77777777" w:rsidTr="005934C8">
        <w:trPr>
          <w:trHeight w:val="411"/>
        </w:trPr>
        <w:tc>
          <w:tcPr>
            <w:tcW w:w="5000" w:type="pct"/>
            <w:gridSpan w:val="5"/>
            <w:shd w:val="clear" w:color="auto" w:fill="auto"/>
          </w:tcPr>
          <w:p w14:paraId="27104210" w14:textId="77777777" w:rsidR="00B077BC" w:rsidRPr="00DD653D" w:rsidRDefault="00B077BC" w:rsidP="00B077BC">
            <w:pPr>
              <w:shd w:val="clear" w:color="auto" w:fill="FFFFFF" w:themeFill="background1"/>
              <w:spacing w:after="0" w:line="240" w:lineRule="auto"/>
              <w:rPr>
                <w:rFonts w:asciiTheme="majorHAnsi" w:hAnsiTheme="majorHAnsi"/>
                <w:b/>
                <w:sz w:val="24"/>
                <w:szCs w:val="24"/>
                <w:highlight w:val="yellow"/>
                <w:u w:val="single"/>
              </w:rPr>
            </w:pPr>
            <w:r w:rsidRPr="004D47D4">
              <w:rPr>
                <w:rFonts w:asciiTheme="majorHAnsi" w:hAnsiTheme="majorHAnsi"/>
                <w:b/>
                <w:sz w:val="24"/>
                <w:szCs w:val="24"/>
                <w:u w:val="single"/>
              </w:rPr>
              <w:t>PREPARAZIONE DEI MEDICINALI</w:t>
            </w:r>
          </w:p>
        </w:tc>
      </w:tr>
      <w:tr w:rsidR="00B077BC" w:rsidRPr="00DD653D" w14:paraId="1C80AB0C" w14:textId="77777777" w:rsidTr="005934C8">
        <w:trPr>
          <w:trHeight w:val="1045"/>
        </w:trPr>
        <w:tc>
          <w:tcPr>
            <w:tcW w:w="2062" w:type="pct"/>
            <w:shd w:val="clear" w:color="auto" w:fill="FFFFFF" w:themeFill="background1"/>
          </w:tcPr>
          <w:p w14:paraId="1B82249F" w14:textId="0A1ECFFE" w:rsidR="00B077BC" w:rsidRPr="00DD653D" w:rsidRDefault="00B077BC" w:rsidP="00B077BC">
            <w:pPr>
              <w:widowControl w:val="0"/>
              <w:shd w:val="clear" w:color="auto" w:fill="FFFFFF" w:themeFill="background1"/>
              <w:autoSpaceDE w:val="0"/>
              <w:autoSpaceDN w:val="0"/>
              <w:adjustRightInd w:val="0"/>
              <w:spacing w:after="0" w:line="240" w:lineRule="auto"/>
              <w:jc w:val="both"/>
              <w:rPr>
                <w:b/>
                <w:highlight w:val="yellow"/>
                <w:u w:val="single"/>
              </w:rPr>
            </w:pPr>
            <w:r w:rsidRPr="003B3452">
              <w:rPr>
                <w:i/>
                <w:lang w:eastAsia="ja-JP"/>
              </w:rPr>
              <w:t>Produzione di preparati magistrali obbligatoriamente sterili, terapie nutrizionali, antiblastiche e di supporto, medicinali sperimentali e radiofarmaci, comprendente la valutazione ed interpretazione dei dati della prescrizione, la valutazione della fattibilità tecnica della preparazione, l’elaborazione della formulazione, la conoscenza delle tecniche di allestimento anche mediante l’utilizzo di sistemi automatizzati ed altre attrezzature dedicate, le operazioni di verifica su</w:t>
            </w:r>
            <w:r>
              <w:rPr>
                <w:i/>
                <w:lang w:eastAsia="ja-JP"/>
              </w:rPr>
              <w:t>l prodotto finito previste dal</w:t>
            </w:r>
            <w:r w:rsidRPr="003B3452">
              <w:rPr>
                <w:i/>
                <w:lang w:eastAsia="ja-JP"/>
              </w:rPr>
              <w:t>la FU., per almeno n. 350 preparazioni</w:t>
            </w:r>
            <w:r w:rsidRPr="002D75CA">
              <w:rPr>
                <w:i/>
                <w:lang w:eastAsia="ja-JP"/>
              </w:rPr>
              <w:t xml:space="preserve">. </w:t>
            </w:r>
            <w:r w:rsidRPr="002D75CA">
              <w:rPr>
                <w:lang w:eastAsia="ja-JP"/>
              </w:rPr>
              <w:t>(280 preparazioni</w:t>
            </w:r>
            <w:r>
              <w:rPr>
                <w:lang w:eastAsia="ja-JP"/>
              </w:rPr>
              <w:t>;</w:t>
            </w:r>
            <w:r w:rsidRPr="00E363B7">
              <w:rPr>
                <w:lang w:eastAsia="ja-JP"/>
              </w:rPr>
              <w:t xml:space="preserve"> 300 ore)</w:t>
            </w:r>
          </w:p>
        </w:tc>
        <w:tc>
          <w:tcPr>
            <w:tcW w:w="1552" w:type="pct"/>
            <w:shd w:val="clear" w:color="auto" w:fill="FFFFFF" w:themeFill="background1"/>
          </w:tcPr>
          <w:p w14:paraId="6AC3A7AC" w14:textId="62C1C307" w:rsidR="00B077BC" w:rsidRPr="00DD653D" w:rsidRDefault="00B077BC" w:rsidP="00B077BC">
            <w:pPr>
              <w:shd w:val="clear" w:color="auto" w:fill="FFFFFF" w:themeFill="background1"/>
              <w:spacing w:after="240" w:line="240" w:lineRule="auto"/>
              <w:jc w:val="center"/>
              <w:rPr>
                <w:sz w:val="20"/>
                <w:szCs w:val="20"/>
              </w:rPr>
            </w:pPr>
            <w:r w:rsidRPr="00DD653D">
              <w:rPr>
                <w:sz w:val="20"/>
                <w:szCs w:val="20"/>
              </w:rPr>
              <w:t xml:space="preserve">C.I. </w:t>
            </w:r>
            <w:r>
              <w:rPr>
                <w:sz w:val="20"/>
                <w:szCs w:val="20"/>
              </w:rPr>
              <w:t xml:space="preserve">GALENICA </w:t>
            </w:r>
            <w:r w:rsidRPr="00DD653D">
              <w:rPr>
                <w:sz w:val="20"/>
                <w:szCs w:val="20"/>
              </w:rPr>
              <w:t>CLINICA</w:t>
            </w:r>
          </w:p>
          <w:p w14:paraId="6F046F5D" w14:textId="275031A7" w:rsidR="00B077BC" w:rsidRPr="00B077BC" w:rsidRDefault="00B077BC" w:rsidP="00B077BC">
            <w:pPr>
              <w:shd w:val="clear" w:color="auto" w:fill="FFFFFF" w:themeFill="background1"/>
              <w:spacing w:after="0"/>
              <w:jc w:val="center"/>
              <w:rPr>
                <w:sz w:val="20"/>
                <w:szCs w:val="20"/>
                <w:highlight w:val="yellow"/>
              </w:rPr>
            </w:pPr>
            <w:r w:rsidRPr="00B077BC">
              <w:rPr>
                <w:sz w:val="20"/>
                <w:szCs w:val="20"/>
              </w:rPr>
              <w:t>Produzione, t</w:t>
            </w:r>
            <w:r w:rsidR="007B16B6">
              <w:rPr>
                <w:sz w:val="20"/>
                <w:szCs w:val="20"/>
              </w:rPr>
              <w:t>racciabilità e documentazione d</w:t>
            </w:r>
            <w:r w:rsidRPr="00B077BC">
              <w:rPr>
                <w:sz w:val="20"/>
                <w:szCs w:val="20"/>
              </w:rPr>
              <w:t>i preparati magistrali sterili</w:t>
            </w:r>
          </w:p>
        </w:tc>
        <w:tc>
          <w:tcPr>
            <w:tcW w:w="381" w:type="pct"/>
            <w:shd w:val="clear" w:color="auto" w:fill="FFFFFF" w:themeFill="background1"/>
          </w:tcPr>
          <w:p w14:paraId="1831229F" w14:textId="77777777" w:rsidR="00B077BC" w:rsidRPr="00DD653D" w:rsidRDefault="00B077BC" w:rsidP="00B077BC">
            <w:pPr>
              <w:shd w:val="clear" w:color="auto" w:fill="FFFFFF" w:themeFill="background1"/>
              <w:spacing w:after="0" w:line="240" w:lineRule="auto"/>
              <w:jc w:val="center"/>
              <w:rPr>
                <w:b/>
                <w:highlight w:val="yellow"/>
              </w:rPr>
            </w:pPr>
            <w:r w:rsidRPr="00B077BC">
              <w:t>CHIM/09</w:t>
            </w:r>
          </w:p>
        </w:tc>
        <w:tc>
          <w:tcPr>
            <w:tcW w:w="402" w:type="pct"/>
            <w:shd w:val="clear" w:color="auto" w:fill="FFFFFF" w:themeFill="background1"/>
          </w:tcPr>
          <w:p w14:paraId="3009ED87" w14:textId="0D04317C" w:rsidR="00B077BC" w:rsidRPr="00B077BC" w:rsidRDefault="00B077BC" w:rsidP="00B077BC">
            <w:pPr>
              <w:shd w:val="clear" w:color="auto" w:fill="FFFFFF" w:themeFill="background1"/>
              <w:spacing w:after="0" w:line="240" w:lineRule="auto"/>
              <w:jc w:val="center"/>
            </w:pPr>
            <w:r w:rsidRPr="00B077BC">
              <w:t>10 CFU</w:t>
            </w:r>
          </w:p>
          <w:p w14:paraId="07EA1DA0" w14:textId="0D93C7B3" w:rsidR="00B077BC" w:rsidRPr="00DD653D" w:rsidRDefault="00B077BC" w:rsidP="00B077BC">
            <w:pPr>
              <w:shd w:val="clear" w:color="auto" w:fill="FFFFFF" w:themeFill="background1"/>
              <w:spacing w:after="0" w:line="240" w:lineRule="auto"/>
              <w:jc w:val="center"/>
              <w:rPr>
                <w:highlight w:val="yellow"/>
              </w:rPr>
            </w:pPr>
            <w:r w:rsidRPr="00B077BC">
              <w:t>30</w:t>
            </w:r>
            <w:r w:rsidR="00BF40CA">
              <w:t>0</w:t>
            </w:r>
            <w:r w:rsidRPr="00B077BC">
              <w:t xml:space="preserve"> ore</w:t>
            </w:r>
          </w:p>
        </w:tc>
        <w:tc>
          <w:tcPr>
            <w:tcW w:w="603" w:type="pct"/>
          </w:tcPr>
          <w:p w14:paraId="3B7F44D6" w14:textId="109EB5B3" w:rsidR="00B077BC" w:rsidRPr="00585AED" w:rsidRDefault="00B077BC" w:rsidP="00B077BC">
            <w:pPr>
              <w:shd w:val="clear" w:color="auto" w:fill="FFFFFF" w:themeFill="background1"/>
              <w:spacing w:after="0" w:line="240" w:lineRule="auto"/>
              <w:jc w:val="center"/>
              <w:rPr>
                <w:sz w:val="20"/>
                <w:szCs w:val="20"/>
              </w:rPr>
            </w:pPr>
          </w:p>
        </w:tc>
      </w:tr>
      <w:tr w:rsidR="00B077BC" w:rsidRPr="00DD653D" w14:paraId="76E73032" w14:textId="77777777" w:rsidTr="00B077BC">
        <w:trPr>
          <w:trHeight w:val="1092"/>
        </w:trPr>
        <w:tc>
          <w:tcPr>
            <w:tcW w:w="2062" w:type="pct"/>
            <w:shd w:val="clear" w:color="auto" w:fill="FFFFFF" w:themeFill="background1"/>
          </w:tcPr>
          <w:p w14:paraId="0F2EB504" w14:textId="70DDA88F" w:rsidR="00B077BC" w:rsidRPr="00DD653D" w:rsidRDefault="00B077BC" w:rsidP="00B077BC">
            <w:pPr>
              <w:widowControl w:val="0"/>
              <w:shd w:val="clear" w:color="auto" w:fill="FFFFFF" w:themeFill="background1"/>
              <w:autoSpaceDE w:val="0"/>
              <w:autoSpaceDN w:val="0"/>
              <w:adjustRightInd w:val="0"/>
              <w:spacing w:after="0" w:line="240" w:lineRule="auto"/>
              <w:jc w:val="both"/>
              <w:rPr>
                <w:color w:val="FF0000"/>
                <w:highlight w:val="yellow"/>
                <w:u w:val="single"/>
              </w:rPr>
            </w:pPr>
            <w:r w:rsidRPr="00F14086">
              <w:rPr>
                <w:rFonts w:asciiTheme="majorHAnsi" w:eastAsia="Times New Roman" w:hAnsiTheme="majorHAnsi" w:cs="Tahoma"/>
                <w:i/>
                <w:lang w:eastAsia="it-IT"/>
              </w:rPr>
              <w:t xml:space="preserve">Partecipazione alla stesura, revisione ed applicazione di procedure e protocolli operativi relativi alle diverse fasi dei processi di produzione, in accordo con le NBP ed il Sistema Qualità, per almeno n.2 procedure/Istruzioni operative. </w:t>
            </w:r>
            <w:r w:rsidRPr="00F14086">
              <w:rPr>
                <w:rFonts w:asciiTheme="majorHAnsi" w:eastAsia="Times New Roman" w:hAnsiTheme="majorHAnsi" w:cs="Tahoma"/>
                <w:lang w:eastAsia="it-IT"/>
              </w:rPr>
              <w:t>(2 procedure; 90 ore)</w:t>
            </w:r>
          </w:p>
        </w:tc>
        <w:tc>
          <w:tcPr>
            <w:tcW w:w="1552" w:type="pct"/>
            <w:shd w:val="clear" w:color="auto" w:fill="FFFFFF" w:themeFill="background1"/>
          </w:tcPr>
          <w:p w14:paraId="369C0E4F" w14:textId="77777777" w:rsidR="00B077BC" w:rsidRPr="00DD653D" w:rsidRDefault="00B077BC" w:rsidP="00B077BC">
            <w:pPr>
              <w:shd w:val="clear" w:color="auto" w:fill="FFFFFF" w:themeFill="background1"/>
              <w:spacing w:after="240" w:line="240" w:lineRule="auto"/>
              <w:jc w:val="center"/>
              <w:rPr>
                <w:sz w:val="20"/>
                <w:szCs w:val="20"/>
              </w:rPr>
            </w:pPr>
            <w:r w:rsidRPr="00DD653D">
              <w:rPr>
                <w:sz w:val="20"/>
                <w:szCs w:val="20"/>
              </w:rPr>
              <w:t xml:space="preserve">C.I. </w:t>
            </w:r>
            <w:r>
              <w:rPr>
                <w:sz w:val="20"/>
                <w:szCs w:val="20"/>
              </w:rPr>
              <w:t xml:space="preserve">GALENICA </w:t>
            </w:r>
            <w:r w:rsidRPr="00DD653D">
              <w:rPr>
                <w:sz w:val="20"/>
                <w:szCs w:val="20"/>
              </w:rPr>
              <w:t>CLINICA</w:t>
            </w:r>
          </w:p>
          <w:p w14:paraId="5DC7B088" w14:textId="3BE8FAB7" w:rsidR="00B077BC" w:rsidRPr="00B077BC" w:rsidRDefault="00B077BC" w:rsidP="00B077BC">
            <w:pPr>
              <w:widowControl w:val="0"/>
              <w:shd w:val="clear" w:color="auto" w:fill="FFFFFF" w:themeFill="background1"/>
              <w:autoSpaceDE w:val="0"/>
              <w:autoSpaceDN w:val="0"/>
              <w:adjustRightInd w:val="0"/>
              <w:spacing w:after="0" w:line="240" w:lineRule="auto"/>
              <w:jc w:val="center"/>
              <w:rPr>
                <w:sz w:val="20"/>
                <w:szCs w:val="20"/>
                <w:highlight w:val="yellow"/>
                <w:u w:val="single"/>
              </w:rPr>
            </w:pPr>
            <w:r w:rsidRPr="00B077BC">
              <w:rPr>
                <w:sz w:val="20"/>
                <w:szCs w:val="20"/>
              </w:rPr>
              <w:t>Controllo di qualità di preparati sterili</w:t>
            </w:r>
          </w:p>
        </w:tc>
        <w:tc>
          <w:tcPr>
            <w:tcW w:w="381" w:type="pct"/>
            <w:shd w:val="clear" w:color="auto" w:fill="FFFFFF" w:themeFill="background1"/>
          </w:tcPr>
          <w:p w14:paraId="50CC41CC" w14:textId="2713626D" w:rsidR="00B077BC" w:rsidRPr="00DD653D" w:rsidRDefault="00B077BC" w:rsidP="00B077BC">
            <w:pPr>
              <w:widowControl w:val="0"/>
              <w:shd w:val="clear" w:color="auto" w:fill="FFFFFF" w:themeFill="background1"/>
              <w:autoSpaceDE w:val="0"/>
              <w:autoSpaceDN w:val="0"/>
              <w:adjustRightInd w:val="0"/>
              <w:spacing w:after="0" w:line="240" w:lineRule="auto"/>
              <w:jc w:val="center"/>
              <w:rPr>
                <w:highlight w:val="yellow"/>
              </w:rPr>
            </w:pPr>
            <w:r w:rsidRPr="00B077BC">
              <w:t>CHIM/08</w:t>
            </w:r>
          </w:p>
        </w:tc>
        <w:tc>
          <w:tcPr>
            <w:tcW w:w="402" w:type="pct"/>
            <w:shd w:val="clear" w:color="auto" w:fill="FFFFFF" w:themeFill="background1"/>
          </w:tcPr>
          <w:p w14:paraId="47051AA2" w14:textId="62977E23" w:rsidR="00B077BC" w:rsidRPr="00B077BC" w:rsidRDefault="00B077BC" w:rsidP="00B077BC">
            <w:pPr>
              <w:shd w:val="clear" w:color="auto" w:fill="FFFFFF" w:themeFill="background1"/>
              <w:spacing w:after="0" w:line="240" w:lineRule="auto"/>
              <w:jc w:val="center"/>
            </w:pPr>
            <w:r w:rsidRPr="00B077BC">
              <w:t>3 CFU</w:t>
            </w:r>
          </w:p>
          <w:p w14:paraId="29DB856E" w14:textId="666D1A87" w:rsidR="00B077BC" w:rsidRPr="00DD653D" w:rsidRDefault="00B077BC" w:rsidP="00B077BC">
            <w:pPr>
              <w:widowControl w:val="0"/>
              <w:shd w:val="clear" w:color="auto" w:fill="FFFFFF" w:themeFill="background1"/>
              <w:autoSpaceDE w:val="0"/>
              <w:autoSpaceDN w:val="0"/>
              <w:adjustRightInd w:val="0"/>
              <w:spacing w:after="0" w:line="240" w:lineRule="auto"/>
              <w:jc w:val="center"/>
              <w:rPr>
                <w:b/>
                <w:highlight w:val="yellow"/>
                <w:u w:val="single"/>
              </w:rPr>
            </w:pPr>
            <w:r w:rsidRPr="00B077BC">
              <w:t>90 ore</w:t>
            </w:r>
          </w:p>
        </w:tc>
        <w:tc>
          <w:tcPr>
            <w:tcW w:w="603" w:type="pct"/>
            <w:shd w:val="clear" w:color="auto" w:fill="FFFFFF" w:themeFill="background1"/>
          </w:tcPr>
          <w:p w14:paraId="659A98DD" w14:textId="33AD4FF9" w:rsidR="00B077BC" w:rsidRPr="00585AED" w:rsidRDefault="00B077BC" w:rsidP="00B077BC">
            <w:pPr>
              <w:shd w:val="clear" w:color="auto" w:fill="FFFFFF" w:themeFill="background1"/>
              <w:spacing w:after="0" w:line="240" w:lineRule="auto"/>
              <w:jc w:val="center"/>
              <w:rPr>
                <w:sz w:val="20"/>
                <w:szCs w:val="20"/>
              </w:rPr>
            </w:pPr>
          </w:p>
        </w:tc>
      </w:tr>
      <w:tr w:rsidR="00B077BC" w:rsidRPr="00DD653D" w14:paraId="77E8FEB4" w14:textId="77777777" w:rsidTr="007F298F">
        <w:trPr>
          <w:trHeight w:val="1395"/>
        </w:trPr>
        <w:tc>
          <w:tcPr>
            <w:tcW w:w="2062" w:type="pct"/>
            <w:shd w:val="clear" w:color="auto" w:fill="FFFFFF" w:themeFill="background1"/>
          </w:tcPr>
          <w:p w14:paraId="1E30ED2B" w14:textId="03E0B078" w:rsidR="00B077BC" w:rsidRPr="00DD653D" w:rsidRDefault="004D47D4" w:rsidP="00B077BC">
            <w:pPr>
              <w:widowControl w:val="0"/>
              <w:shd w:val="clear" w:color="auto" w:fill="FFFFFF" w:themeFill="background1"/>
              <w:autoSpaceDE w:val="0"/>
              <w:autoSpaceDN w:val="0"/>
              <w:adjustRightInd w:val="0"/>
              <w:spacing w:after="0" w:line="240" w:lineRule="auto"/>
              <w:jc w:val="both"/>
              <w:rPr>
                <w:highlight w:val="yellow"/>
              </w:rPr>
            </w:pPr>
            <w:r w:rsidRPr="009513BB">
              <w:rPr>
                <w:rFonts w:asciiTheme="majorHAnsi" w:hAnsiTheme="majorHAnsi" w:cs="Tahoma"/>
                <w:i/>
              </w:rPr>
              <w:t>Partecipazione ad almeno 2 riunioni di commissioni e/o gruppi di lavoro multidisciplinari quali i Team Nutrizionali, Oncologici, Progetto Ospedale Senza Dolore, ecc. da cui viene svolta attività di consulenza, di indirizzo e di verifica in ambiti specifici. (2 riunioni; 30 ore)</w:t>
            </w:r>
          </w:p>
        </w:tc>
        <w:tc>
          <w:tcPr>
            <w:tcW w:w="1552" w:type="pct"/>
            <w:shd w:val="clear" w:color="auto" w:fill="FFFFFF" w:themeFill="background1"/>
          </w:tcPr>
          <w:p w14:paraId="56075FF7" w14:textId="3F69D425" w:rsidR="00B077BC" w:rsidRPr="004D47D4" w:rsidRDefault="00B077BC" w:rsidP="00B077BC">
            <w:pPr>
              <w:shd w:val="clear" w:color="auto" w:fill="FFFFFF" w:themeFill="background1"/>
              <w:spacing w:after="240" w:line="240" w:lineRule="auto"/>
              <w:jc w:val="center"/>
              <w:rPr>
                <w:sz w:val="20"/>
                <w:szCs w:val="20"/>
              </w:rPr>
            </w:pPr>
            <w:r w:rsidRPr="004D47D4">
              <w:rPr>
                <w:sz w:val="20"/>
                <w:szCs w:val="20"/>
              </w:rPr>
              <w:t xml:space="preserve">C.I. </w:t>
            </w:r>
            <w:r w:rsidR="004D47D4" w:rsidRPr="004D47D4">
              <w:rPr>
                <w:sz w:val="20"/>
                <w:szCs w:val="20"/>
              </w:rPr>
              <w:t>DIETETICA E NUTRIZIONE</w:t>
            </w:r>
          </w:p>
          <w:p w14:paraId="73F95C4C" w14:textId="55AED0EC" w:rsidR="00B077BC" w:rsidRPr="007F298F" w:rsidRDefault="007F298F" w:rsidP="00B077BC">
            <w:pPr>
              <w:widowControl w:val="0"/>
              <w:shd w:val="clear" w:color="auto" w:fill="FFFFFF" w:themeFill="background1"/>
              <w:autoSpaceDE w:val="0"/>
              <w:autoSpaceDN w:val="0"/>
              <w:adjustRightInd w:val="0"/>
              <w:spacing w:after="0" w:line="240" w:lineRule="auto"/>
              <w:jc w:val="center"/>
              <w:rPr>
                <w:sz w:val="20"/>
                <w:szCs w:val="20"/>
                <w:highlight w:val="yellow"/>
                <w:u w:val="single"/>
              </w:rPr>
            </w:pPr>
            <w:r w:rsidRPr="007F298F">
              <w:rPr>
                <w:sz w:val="20"/>
                <w:szCs w:val="20"/>
              </w:rPr>
              <w:t>Chimica degli alimenti</w:t>
            </w:r>
          </w:p>
        </w:tc>
        <w:tc>
          <w:tcPr>
            <w:tcW w:w="381" w:type="pct"/>
            <w:shd w:val="clear" w:color="auto" w:fill="FFFFFF" w:themeFill="background1"/>
          </w:tcPr>
          <w:p w14:paraId="4056BA15" w14:textId="57420E54" w:rsidR="00B077BC" w:rsidRPr="007F298F" w:rsidRDefault="007F298F" w:rsidP="00B077BC">
            <w:pPr>
              <w:widowControl w:val="0"/>
              <w:shd w:val="clear" w:color="auto" w:fill="FFFFFF" w:themeFill="background1"/>
              <w:autoSpaceDE w:val="0"/>
              <w:autoSpaceDN w:val="0"/>
              <w:adjustRightInd w:val="0"/>
              <w:spacing w:after="0" w:line="240" w:lineRule="auto"/>
              <w:jc w:val="center"/>
            </w:pPr>
            <w:r w:rsidRPr="007F298F">
              <w:t>CHIM/10</w:t>
            </w:r>
          </w:p>
        </w:tc>
        <w:tc>
          <w:tcPr>
            <w:tcW w:w="402" w:type="pct"/>
            <w:shd w:val="clear" w:color="auto" w:fill="FFFFFF" w:themeFill="background1"/>
          </w:tcPr>
          <w:p w14:paraId="5A2D95D0" w14:textId="76897BEE" w:rsidR="00B077BC" w:rsidRPr="007F298F" w:rsidRDefault="007F298F" w:rsidP="00B077BC">
            <w:pPr>
              <w:shd w:val="clear" w:color="auto" w:fill="FFFFFF" w:themeFill="background1"/>
              <w:spacing w:after="0" w:line="240" w:lineRule="auto"/>
              <w:jc w:val="center"/>
            </w:pPr>
            <w:r w:rsidRPr="007F298F">
              <w:t>1</w:t>
            </w:r>
            <w:r w:rsidR="00B077BC" w:rsidRPr="007F298F">
              <w:t xml:space="preserve"> CFU</w:t>
            </w:r>
          </w:p>
          <w:p w14:paraId="21D932C4" w14:textId="0A71F049" w:rsidR="00B077BC" w:rsidRPr="007F298F" w:rsidRDefault="007F298F" w:rsidP="00B077BC">
            <w:pPr>
              <w:widowControl w:val="0"/>
              <w:shd w:val="clear" w:color="auto" w:fill="FFFFFF" w:themeFill="background1"/>
              <w:autoSpaceDE w:val="0"/>
              <w:autoSpaceDN w:val="0"/>
              <w:adjustRightInd w:val="0"/>
              <w:spacing w:after="0" w:line="240" w:lineRule="auto"/>
              <w:jc w:val="center"/>
              <w:rPr>
                <w:b/>
                <w:u w:val="single"/>
              </w:rPr>
            </w:pPr>
            <w:r w:rsidRPr="007F298F">
              <w:t>3</w:t>
            </w:r>
            <w:r w:rsidR="00B077BC" w:rsidRPr="007F298F">
              <w:t>0 ore</w:t>
            </w:r>
          </w:p>
        </w:tc>
        <w:tc>
          <w:tcPr>
            <w:tcW w:w="603" w:type="pct"/>
            <w:shd w:val="clear" w:color="auto" w:fill="FFFFFF" w:themeFill="background1"/>
          </w:tcPr>
          <w:p w14:paraId="247D59C1" w14:textId="1AE1C2ED" w:rsidR="00B077BC" w:rsidRPr="00585AED" w:rsidRDefault="00B077BC" w:rsidP="00B077BC">
            <w:pPr>
              <w:shd w:val="clear" w:color="auto" w:fill="FFFFFF" w:themeFill="background1"/>
              <w:spacing w:after="0" w:line="240" w:lineRule="auto"/>
              <w:jc w:val="center"/>
              <w:rPr>
                <w:sz w:val="20"/>
                <w:szCs w:val="20"/>
              </w:rPr>
            </w:pPr>
          </w:p>
        </w:tc>
      </w:tr>
      <w:tr w:rsidR="00B077BC" w:rsidRPr="00DD653D" w14:paraId="0B7CEE41" w14:textId="77777777" w:rsidTr="007F298F">
        <w:trPr>
          <w:trHeight w:val="989"/>
        </w:trPr>
        <w:tc>
          <w:tcPr>
            <w:tcW w:w="2062" w:type="pct"/>
            <w:shd w:val="clear" w:color="auto" w:fill="FFFFFF" w:themeFill="background1"/>
          </w:tcPr>
          <w:p w14:paraId="40802512" w14:textId="609FE799" w:rsidR="00B077BC" w:rsidRPr="00DD653D" w:rsidRDefault="007F298F" w:rsidP="00B077BC">
            <w:pPr>
              <w:widowControl w:val="0"/>
              <w:shd w:val="clear" w:color="auto" w:fill="FFFFFF" w:themeFill="background1"/>
              <w:autoSpaceDE w:val="0"/>
              <w:autoSpaceDN w:val="0"/>
              <w:adjustRightInd w:val="0"/>
              <w:spacing w:after="0" w:line="240" w:lineRule="auto"/>
              <w:jc w:val="both"/>
              <w:rPr>
                <w:i/>
                <w:highlight w:val="yellow"/>
              </w:rPr>
            </w:pPr>
            <w:r w:rsidRPr="00EF189A">
              <w:rPr>
                <w:i/>
                <w:lang w:eastAsia="ja-JP"/>
              </w:rPr>
              <w:t xml:space="preserve">Produzione di preparati magistrali obbligatoriamente sterili, terapie nutrizionali, antiblastiche e di supporto, medicinali sperimentali e radiofarmaci, comprendente la valutazione ed interpretazione dei dati della prescrizione, la valutazione della fattibilità tecnica della preparazione, l’elaborazione della formulazione, la conoscenza delle tecniche di allestimento anche </w:t>
            </w:r>
            <w:r w:rsidRPr="00EF189A">
              <w:rPr>
                <w:i/>
                <w:lang w:eastAsia="ja-JP"/>
              </w:rPr>
              <w:lastRenderedPageBreak/>
              <w:t xml:space="preserve">mediante l’utilizzo di sistemi automatizzati ed altre attrezzature dedicate, le operazioni di verifica sul prodotto finito previste dal- la FU., per almeno n. 350 </w:t>
            </w:r>
            <w:r w:rsidRPr="000B5305">
              <w:rPr>
                <w:i/>
                <w:lang w:eastAsia="ja-JP"/>
              </w:rPr>
              <w:t xml:space="preserve">preparazioni. </w:t>
            </w:r>
            <w:r w:rsidRPr="000B5305">
              <w:rPr>
                <w:lang w:eastAsia="ja-JP"/>
              </w:rPr>
              <w:t>(30 preparazioni</w:t>
            </w:r>
            <w:r>
              <w:rPr>
                <w:lang w:eastAsia="ja-JP"/>
              </w:rPr>
              <w:t xml:space="preserve">; </w:t>
            </w:r>
            <w:r w:rsidRPr="001D2975">
              <w:rPr>
                <w:lang w:eastAsia="ja-JP"/>
              </w:rPr>
              <w:t>30 ore)</w:t>
            </w:r>
          </w:p>
        </w:tc>
        <w:tc>
          <w:tcPr>
            <w:tcW w:w="1552" w:type="pct"/>
            <w:shd w:val="clear" w:color="auto" w:fill="FFFFFF" w:themeFill="background1"/>
          </w:tcPr>
          <w:p w14:paraId="3CB2C1ED" w14:textId="77777777" w:rsidR="007F298F" w:rsidRPr="004D47D4" w:rsidRDefault="007F298F" w:rsidP="007F298F">
            <w:pPr>
              <w:shd w:val="clear" w:color="auto" w:fill="FFFFFF" w:themeFill="background1"/>
              <w:spacing w:after="240" w:line="240" w:lineRule="auto"/>
              <w:jc w:val="center"/>
              <w:rPr>
                <w:sz w:val="20"/>
                <w:szCs w:val="20"/>
              </w:rPr>
            </w:pPr>
            <w:r w:rsidRPr="004D47D4">
              <w:rPr>
                <w:sz w:val="20"/>
                <w:szCs w:val="20"/>
              </w:rPr>
              <w:lastRenderedPageBreak/>
              <w:t>C.I. DIETETICA E NUTRIZIONE</w:t>
            </w:r>
          </w:p>
          <w:p w14:paraId="168625CC" w14:textId="73D8DF38" w:rsidR="00B077BC" w:rsidRPr="00DD653D" w:rsidRDefault="007F298F" w:rsidP="007F298F">
            <w:pPr>
              <w:widowControl w:val="0"/>
              <w:shd w:val="clear" w:color="auto" w:fill="FFFFFF" w:themeFill="background1"/>
              <w:autoSpaceDE w:val="0"/>
              <w:autoSpaceDN w:val="0"/>
              <w:adjustRightInd w:val="0"/>
              <w:spacing w:after="0" w:line="240" w:lineRule="auto"/>
              <w:jc w:val="center"/>
              <w:rPr>
                <w:b/>
                <w:highlight w:val="yellow"/>
                <w:u w:val="single"/>
              </w:rPr>
            </w:pPr>
            <w:r>
              <w:rPr>
                <w:sz w:val="20"/>
                <w:szCs w:val="20"/>
              </w:rPr>
              <w:t xml:space="preserve">Nutrizione artificiale </w:t>
            </w:r>
          </w:p>
        </w:tc>
        <w:tc>
          <w:tcPr>
            <w:tcW w:w="381" w:type="pct"/>
            <w:shd w:val="clear" w:color="auto" w:fill="FFFFFF" w:themeFill="background1"/>
          </w:tcPr>
          <w:p w14:paraId="3364BBAE" w14:textId="0E537E18" w:rsidR="00B077BC" w:rsidRPr="00DD653D" w:rsidRDefault="007F298F" w:rsidP="00B077BC">
            <w:pPr>
              <w:widowControl w:val="0"/>
              <w:shd w:val="clear" w:color="auto" w:fill="FFFFFF" w:themeFill="background1"/>
              <w:autoSpaceDE w:val="0"/>
              <w:autoSpaceDN w:val="0"/>
              <w:adjustRightInd w:val="0"/>
              <w:spacing w:after="0" w:line="240" w:lineRule="auto"/>
              <w:jc w:val="center"/>
              <w:rPr>
                <w:highlight w:val="yellow"/>
              </w:rPr>
            </w:pPr>
            <w:r w:rsidRPr="007F298F">
              <w:t>CHIM/09</w:t>
            </w:r>
          </w:p>
        </w:tc>
        <w:tc>
          <w:tcPr>
            <w:tcW w:w="402" w:type="pct"/>
            <w:shd w:val="clear" w:color="auto" w:fill="FFFFFF" w:themeFill="background1"/>
          </w:tcPr>
          <w:p w14:paraId="3A80E15F" w14:textId="425468E5" w:rsidR="00B077BC" w:rsidRPr="007F298F" w:rsidRDefault="007F298F" w:rsidP="00B077BC">
            <w:pPr>
              <w:shd w:val="clear" w:color="auto" w:fill="FFFFFF" w:themeFill="background1"/>
              <w:spacing w:after="0" w:line="240" w:lineRule="auto"/>
              <w:jc w:val="center"/>
            </w:pPr>
            <w:r w:rsidRPr="007F298F">
              <w:t>1</w:t>
            </w:r>
            <w:r w:rsidR="00B077BC" w:rsidRPr="007F298F">
              <w:t xml:space="preserve"> CFU</w:t>
            </w:r>
          </w:p>
          <w:p w14:paraId="7D52C735" w14:textId="7824B123" w:rsidR="00B077BC" w:rsidRPr="00DD653D" w:rsidRDefault="007F298F" w:rsidP="00B077BC">
            <w:pPr>
              <w:widowControl w:val="0"/>
              <w:shd w:val="clear" w:color="auto" w:fill="FFFFFF" w:themeFill="background1"/>
              <w:autoSpaceDE w:val="0"/>
              <w:autoSpaceDN w:val="0"/>
              <w:adjustRightInd w:val="0"/>
              <w:spacing w:after="0" w:line="240" w:lineRule="auto"/>
              <w:jc w:val="center"/>
              <w:rPr>
                <w:b/>
                <w:highlight w:val="yellow"/>
                <w:u w:val="single"/>
              </w:rPr>
            </w:pPr>
            <w:r w:rsidRPr="007F298F">
              <w:t>3</w:t>
            </w:r>
            <w:r w:rsidR="00B077BC" w:rsidRPr="007F298F">
              <w:t>0 ore</w:t>
            </w:r>
          </w:p>
        </w:tc>
        <w:tc>
          <w:tcPr>
            <w:tcW w:w="603" w:type="pct"/>
            <w:shd w:val="clear" w:color="auto" w:fill="FFFFFF" w:themeFill="background1"/>
          </w:tcPr>
          <w:p w14:paraId="6BB14A51" w14:textId="61FFABCD" w:rsidR="00B077BC" w:rsidRPr="00585AED" w:rsidRDefault="00B077BC" w:rsidP="00B077BC">
            <w:pPr>
              <w:shd w:val="clear" w:color="auto" w:fill="FFFFFF" w:themeFill="background1"/>
              <w:spacing w:after="0" w:line="240" w:lineRule="auto"/>
              <w:jc w:val="center"/>
              <w:rPr>
                <w:sz w:val="20"/>
                <w:szCs w:val="20"/>
              </w:rPr>
            </w:pPr>
          </w:p>
        </w:tc>
      </w:tr>
      <w:tr w:rsidR="007F298F" w:rsidRPr="00DD653D" w14:paraId="6D9BDD14" w14:textId="77777777" w:rsidTr="005934C8">
        <w:trPr>
          <w:trHeight w:val="1345"/>
        </w:trPr>
        <w:tc>
          <w:tcPr>
            <w:tcW w:w="2062" w:type="pct"/>
            <w:shd w:val="clear" w:color="auto" w:fill="FFFFFF" w:themeFill="background1"/>
          </w:tcPr>
          <w:p w14:paraId="0FB445ED" w14:textId="511DD742" w:rsidR="007F298F" w:rsidRPr="00EF189A" w:rsidRDefault="007F298F" w:rsidP="007F298F">
            <w:pPr>
              <w:widowControl w:val="0"/>
              <w:shd w:val="clear" w:color="auto" w:fill="FFFFFF" w:themeFill="background1"/>
              <w:autoSpaceDE w:val="0"/>
              <w:autoSpaceDN w:val="0"/>
              <w:adjustRightInd w:val="0"/>
              <w:spacing w:after="0" w:line="240" w:lineRule="auto"/>
              <w:jc w:val="both"/>
              <w:rPr>
                <w:i/>
                <w:lang w:eastAsia="ja-JP"/>
              </w:rPr>
            </w:pPr>
            <w:r w:rsidRPr="00EF189A">
              <w:rPr>
                <w:i/>
                <w:lang w:eastAsia="ja-JP"/>
              </w:rPr>
              <w:t>Produzione di preparati magistrali obbligatoriamente sterili, terapie nutrizionali, antiblastiche e di supporto, medicinali sperimentali e radiofarmaci, comprendente la valutazione ed interpretazione dei dati della prescrizione, la valutazione della fattibilità tecnica della preparazione, l’elaborazione della formulazione, la conoscenza delle tecniche di allestimento anche mediante l’utilizzo di sistemi automatizzati ed altre attrezzature dedicate, le operazioni di verifica su</w:t>
            </w:r>
            <w:r>
              <w:rPr>
                <w:i/>
                <w:lang w:eastAsia="ja-JP"/>
              </w:rPr>
              <w:t>l prodotto finito previste dal</w:t>
            </w:r>
            <w:r w:rsidRPr="00EF189A">
              <w:rPr>
                <w:i/>
                <w:lang w:eastAsia="ja-JP"/>
              </w:rPr>
              <w:t xml:space="preserve">la FU., per almeno n. 350 </w:t>
            </w:r>
            <w:r w:rsidRPr="000B5305">
              <w:rPr>
                <w:i/>
                <w:lang w:eastAsia="ja-JP"/>
              </w:rPr>
              <w:t xml:space="preserve">preparazioni. </w:t>
            </w:r>
            <w:r w:rsidRPr="000B5305">
              <w:rPr>
                <w:lang w:eastAsia="ja-JP"/>
              </w:rPr>
              <w:t>(30 preparazioni</w:t>
            </w:r>
            <w:r>
              <w:rPr>
                <w:lang w:eastAsia="ja-JP"/>
              </w:rPr>
              <w:t xml:space="preserve">; </w:t>
            </w:r>
            <w:r w:rsidRPr="004E1CB4">
              <w:rPr>
                <w:lang w:eastAsia="ja-JP"/>
              </w:rPr>
              <w:t>30 ore)</w:t>
            </w:r>
          </w:p>
        </w:tc>
        <w:tc>
          <w:tcPr>
            <w:tcW w:w="1552" w:type="pct"/>
            <w:shd w:val="clear" w:color="auto" w:fill="FFFFFF" w:themeFill="background1"/>
          </w:tcPr>
          <w:p w14:paraId="012006A7" w14:textId="240F5286" w:rsidR="007F298F" w:rsidRPr="004D47D4" w:rsidRDefault="007F298F" w:rsidP="007F298F">
            <w:pPr>
              <w:shd w:val="clear" w:color="auto" w:fill="FFFFFF" w:themeFill="background1"/>
              <w:spacing w:after="240" w:line="240" w:lineRule="auto"/>
              <w:jc w:val="center"/>
              <w:rPr>
                <w:sz w:val="20"/>
                <w:szCs w:val="20"/>
              </w:rPr>
            </w:pPr>
            <w:r w:rsidRPr="004D47D4">
              <w:rPr>
                <w:sz w:val="20"/>
                <w:szCs w:val="20"/>
              </w:rPr>
              <w:t xml:space="preserve">C.I. </w:t>
            </w:r>
            <w:r>
              <w:rPr>
                <w:sz w:val="20"/>
                <w:szCs w:val="20"/>
              </w:rPr>
              <w:t>TECNOLOGIA FARMACEUTICA E RADIOFARMACI</w:t>
            </w:r>
          </w:p>
          <w:p w14:paraId="11EB56AA" w14:textId="3237F646" w:rsidR="007F298F" w:rsidRPr="007F298F" w:rsidRDefault="007F298F" w:rsidP="007F298F">
            <w:pPr>
              <w:shd w:val="clear" w:color="auto" w:fill="FFFFFF" w:themeFill="background1"/>
              <w:spacing w:after="240" w:line="240" w:lineRule="auto"/>
              <w:jc w:val="center"/>
              <w:rPr>
                <w:sz w:val="20"/>
                <w:szCs w:val="20"/>
              </w:rPr>
            </w:pPr>
            <w:r w:rsidRPr="007F298F">
              <w:rPr>
                <w:sz w:val="20"/>
                <w:szCs w:val="20"/>
              </w:rPr>
              <w:t>Preparazione officinali e magistrali sterili</w:t>
            </w:r>
          </w:p>
        </w:tc>
        <w:tc>
          <w:tcPr>
            <w:tcW w:w="381" w:type="pct"/>
            <w:shd w:val="clear" w:color="auto" w:fill="FFFFFF" w:themeFill="background1"/>
          </w:tcPr>
          <w:p w14:paraId="0C6868C4" w14:textId="2CA4636A" w:rsidR="007F298F" w:rsidRPr="007F298F" w:rsidRDefault="007F298F" w:rsidP="007F298F">
            <w:pPr>
              <w:widowControl w:val="0"/>
              <w:shd w:val="clear" w:color="auto" w:fill="FFFFFF" w:themeFill="background1"/>
              <w:autoSpaceDE w:val="0"/>
              <w:autoSpaceDN w:val="0"/>
              <w:adjustRightInd w:val="0"/>
              <w:spacing w:after="0" w:line="240" w:lineRule="auto"/>
              <w:jc w:val="center"/>
            </w:pPr>
            <w:r w:rsidRPr="007F298F">
              <w:t>CHIM/09</w:t>
            </w:r>
          </w:p>
        </w:tc>
        <w:tc>
          <w:tcPr>
            <w:tcW w:w="402" w:type="pct"/>
            <w:shd w:val="clear" w:color="auto" w:fill="FFFFFF" w:themeFill="background1"/>
          </w:tcPr>
          <w:p w14:paraId="3986B0BA" w14:textId="77777777" w:rsidR="007F298F" w:rsidRPr="007F298F" w:rsidRDefault="007F298F" w:rsidP="007F298F">
            <w:pPr>
              <w:shd w:val="clear" w:color="auto" w:fill="FFFFFF" w:themeFill="background1"/>
              <w:spacing w:after="0" w:line="240" w:lineRule="auto"/>
              <w:jc w:val="center"/>
            </w:pPr>
            <w:r w:rsidRPr="007F298F">
              <w:t>1 CFU</w:t>
            </w:r>
          </w:p>
          <w:p w14:paraId="1C87D2BD" w14:textId="7F369387" w:rsidR="007F298F" w:rsidRPr="007F298F" w:rsidRDefault="007F298F" w:rsidP="007F298F">
            <w:pPr>
              <w:shd w:val="clear" w:color="auto" w:fill="FFFFFF" w:themeFill="background1"/>
              <w:spacing w:after="0" w:line="240" w:lineRule="auto"/>
              <w:jc w:val="center"/>
            </w:pPr>
            <w:r w:rsidRPr="007F298F">
              <w:t>30 ore</w:t>
            </w:r>
          </w:p>
        </w:tc>
        <w:tc>
          <w:tcPr>
            <w:tcW w:w="603" w:type="pct"/>
            <w:shd w:val="clear" w:color="auto" w:fill="FFFFFF" w:themeFill="background1"/>
          </w:tcPr>
          <w:p w14:paraId="21AC6498" w14:textId="286ED009" w:rsidR="007F298F" w:rsidRPr="00DD653D" w:rsidRDefault="007F298F" w:rsidP="007F298F">
            <w:pPr>
              <w:shd w:val="clear" w:color="auto" w:fill="FFFFFF" w:themeFill="background1"/>
              <w:spacing w:after="0" w:line="240" w:lineRule="auto"/>
              <w:jc w:val="center"/>
              <w:rPr>
                <w:sz w:val="20"/>
                <w:szCs w:val="20"/>
                <w:lang w:bidi="x-none"/>
              </w:rPr>
            </w:pPr>
          </w:p>
        </w:tc>
      </w:tr>
      <w:tr w:rsidR="007F298F" w:rsidRPr="00DD653D" w14:paraId="1B9D3A66" w14:textId="77777777" w:rsidTr="005934C8">
        <w:trPr>
          <w:trHeight w:val="1345"/>
        </w:trPr>
        <w:tc>
          <w:tcPr>
            <w:tcW w:w="2062" w:type="pct"/>
            <w:shd w:val="clear" w:color="auto" w:fill="FFFFFF" w:themeFill="background1"/>
          </w:tcPr>
          <w:p w14:paraId="7882F749" w14:textId="2B8F99AE" w:rsidR="007F298F" w:rsidRPr="00EF189A" w:rsidRDefault="007F298F" w:rsidP="007F298F">
            <w:pPr>
              <w:widowControl w:val="0"/>
              <w:shd w:val="clear" w:color="auto" w:fill="FFFFFF" w:themeFill="background1"/>
              <w:autoSpaceDE w:val="0"/>
              <w:autoSpaceDN w:val="0"/>
              <w:adjustRightInd w:val="0"/>
              <w:spacing w:after="0" w:line="240" w:lineRule="auto"/>
              <w:jc w:val="both"/>
              <w:rPr>
                <w:i/>
                <w:lang w:eastAsia="ja-JP"/>
              </w:rPr>
            </w:pPr>
            <w:r w:rsidRPr="00EF189A">
              <w:rPr>
                <w:i/>
                <w:lang w:eastAsia="ja-JP"/>
              </w:rPr>
              <w:t xml:space="preserve">Produzione di preparati magistrali obbligatoriamente sterili, terapie nutrizionali, antiblastiche e di supporto, medicinali sperimentali e radiofarmaci, comprendente la valutazione ed interpretazione dei dati della prescrizione, la valutazione della fattibilità tecnica della preparazione, l’elaborazione della formulazione, la conoscenza delle tecniche di allestimento anche mediante l’utilizzo di sistemi automatizzati ed altre attrezzature dedicate, le operazioni di verifica sul prodotto finito previste dal- la FU., per almeno n. 350 </w:t>
            </w:r>
            <w:r w:rsidRPr="000B5305">
              <w:rPr>
                <w:i/>
                <w:lang w:eastAsia="ja-JP"/>
              </w:rPr>
              <w:t xml:space="preserve">preparazioni. </w:t>
            </w:r>
            <w:r w:rsidRPr="000B5305">
              <w:rPr>
                <w:lang w:eastAsia="ja-JP"/>
              </w:rPr>
              <w:t>(10 preparazioni</w:t>
            </w:r>
            <w:r>
              <w:rPr>
                <w:lang w:eastAsia="ja-JP"/>
              </w:rPr>
              <w:t xml:space="preserve">; </w:t>
            </w:r>
            <w:r w:rsidRPr="004E1CB4">
              <w:rPr>
                <w:lang w:eastAsia="ja-JP"/>
              </w:rPr>
              <w:t>60 ore)</w:t>
            </w:r>
          </w:p>
        </w:tc>
        <w:tc>
          <w:tcPr>
            <w:tcW w:w="1552" w:type="pct"/>
            <w:shd w:val="clear" w:color="auto" w:fill="FFFFFF" w:themeFill="background1"/>
          </w:tcPr>
          <w:p w14:paraId="4A30EE1D" w14:textId="77777777" w:rsidR="007F298F" w:rsidRPr="004D47D4" w:rsidRDefault="007F298F" w:rsidP="007F298F">
            <w:pPr>
              <w:shd w:val="clear" w:color="auto" w:fill="FFFFFF" w:themeFill="background1"/>
              <w:spacing w:after="240" w:line="240" w:lineRule="auto"/>
              <w:jc w:val="center"/>
              <w:rPr>
                <w:sz w:val="20"/>
                <w:szCs w:val="20"/>
              </w:rPr>
            </w:pPr>
            <w:r w:rsidRPr="004D47D4">
              <w:rPr>
                <w:sz w:val="20"/>
                <w:szCs w:val="20"/>
              </w:rPr>
              <w:t xml:space="preserve">C.I. </w:t>
            </w:r>
            <w:r>
              <w:rPr>
                <w:sz w:val="20"/>
                <w:szCs w:val="20"/>
              </w:rPr>
              <w:t>TECNOLOGIA FARMACEUTICA E RADIOFARMACI</w:t>
            </w:r>
          </w:p>
          <w:p w14:paraId="5355A3DB" w14:textId="522BB496" w:rsidR="007F298F" w:rsidRPr="004D47D4" w:rsidRDefault="007F298F" w:rsidP="007F298F">
            <w:pPr>
              <w:shd w:val="clear" w:color="auto" w:fill="FFFFFF" w:themeFill="background1"/>
              <w:spacing w:after="240" w:line="240" w:lineRule="auto"/>
              <w:jc w:val="center"/>
              <w:rPr>
                <w:sz w:val="20"/>
                <w:szCs w:val="20"/>
              </w:rPr>
            </w:pPr>
            <w:r>
              <w:rPr>
                <w:sz w:val="20"/>
                <w:szCs w:val="20"/>
              </w:rPr>
              <w:t>Radiofarmaci</w:t>
            </w:r>
          </w:p>
        </w:tc>
        <w:tc>
          <w:tcPr>
            <w:tcW w:w="381" w:type="pct"/>
            <w:shd w:val="clear" w:color="auto" w:fill="FFFFFF" w:themeFill="background1"/>
          </w:tcPr>
          <w:p w14:paraId="177BD79C" w14:textId="71BBC777" w:rsidR="007F298F" w:rsidRPr="007F298F" w:rsidRDefault="007F298F" w:rsidP="007F298F">
            <w:pPr>
              <w:widowControl w:val="0"/>
              <w:shd w:val="clear" w:color="auto" w:fill="FFFFFF" w:themeFill="background1"/>
              <w:autoSpaceDE w:val="0"/>
              <w:autoSpaceDN w:val="0"/>
              <w:adjustRightInd w:val="0"/>
              <w:spacing w:after="0" w:line="240" w:lineRule="auto"/>
              <w:jc w:val="center"/>
            </w:pPr>
            <w:r>
              <w:t>CHIM/08</w:t>
            </w:r>
          </w:p>
        </w:tc>
        <w:tc>
          <w:tcPr>
            <w:tcW w:w="402" w:type="pct"/>
            <w:shd w:val="clear" w:color="auto" w:fill="FFFFFF" w:themeFill="background1"/>
          </w:tcPr>
          <w:p w14:paraId="4BE00C6D" w14:textId="77777777" w:rsidR="007F298F" w:rsidRDefault="007F298F" w:rsidP="007F298F">
            <w:pPr>
              <w:shd w:val="clear" w:color="auto" w:fill="FFFFFF" w:themeFill="background1"/>
              <w:spacing w:after="0" w:line="240" w:lineRule="auto"/>
              <w:jc w:val="center"/>
            </w:pPr>
            <w:r>
              <w:t>2</w:t>
            </w:r>
          </w:p>
          <w:p w14:paraId="050B475A" w14:textId="3B208638" w:rsidR="007F298F" w:rsidRPr="007F298F" w:rsidRDefault="007F298F" w:rsidP="007F298F">
            <w:pPr>
              <w:shd w:val="clear" w:color="auto" w:fill="FFFFFF" w:themeFill="background1"/>
              <w:spacing w:after="0" w:line="240" w:lineRule="auto"/>
              <w:jc w:val="center"/>
            </w:pPr>
            <w:r>
              <w:t>60 ore</w:t>
            </w:r>
          </w:p>
        </w:tc>
        <w:tc>
          <w:tcPr>
            <w:tcW w:w="603" w:type="pct"/>
            <w:shd w:val="clear" w:color="auto" w:fill="FFFFFF" w:themeFill="background1"/>
          </w:tcPr>
          <w:p w14:paraId="1CBD0CB5" w14:textId="3E2FA6B6" w:rsidR="007F298F" w:rsidRPr="00DD653D" w:rsidRDefault="007F298F" w:rsidP="00747219">
            <w:pPr>
              <w:shd w:val="clear" w:color="auto" w:fill="FFFFFF" w:themeFill="background1"/>
              <w:spacing w:after="0" w:line="240" w:lineRule="auto"/>
              <w:jc w:val="center"/>
              <w:rPr>
                <w:sz w:val="20"/>
                <w:szCs w:val="20"/>
                <w:lang w:bidi="x-none"/>
              </w:rPr>
            </w:pPr>
          </w:p>
        </w:tc>
      </w:tr>
      <w:tr w:rsidR="007F298F" w:rsidRPr="00DD653D" w14:paraId="54FBCA5F" w14:textId="77777777" w:rsidTr="005934C8">
        <w:trPr>
          <w:trHeight w:val="411"/>
        </w:trPr>
        <w:tc>
          <w:tcPr>
            <w:tcW w:w="4397" w:type="pct"/>
            <w:gridSpan w:val="4"/>
            <w:shd w:val="clear" w:color="auto" w:fill="FFFFFF" w:themeFill="background1"/>
          </w:tcPr>
          <w:p w14:paraId="52CCEB95" w14:textId="6D499686" w:rsidR="007F298F" w:rsidRPr="00DD653D" w:rsidRDefault="007F298F" w:rsidP="007F298F">
            <w:pPr>
              <w:shd w:val="clear" w:color="auto" w:fill="FFFFFF" w:themeFill="background1"/>
              <w:spacing w:after="0" w:line="240" w:lineRule="auto"/>
              <w:rPr>
                <w:b/>
                <w:sz w:val="24"/>
                <w:szCs w:val="24"/>
                <w:highlight w:val="yellow"/>
              </w:rPr>
            </w:pPr>
            <w:r w:rsidRPr="007F298F">
              <w:rPr>
                <w:rFonts w:asciiTheme="majorHAnsi" w:hAnsiTheme="majorHAnsi"/>
                <w:b/>
                <w:sz w:val="24"/>
                <w:szCs w:val="24"/>
                <w:u w:val="single"/>
              </w:rPr>
              <w:t>TERRRITORIALE</w:t>
            </w:r>
          </w:p>
        </w:tc>
        <w:tc>
          <w:tcPr>
            <w:tcW w:w="603" w:type="pct"/>
            <w:shd w:val="clear" w:color="auto" w:fill="FFFFFF" w:themeFill="background1"/>
          </w:tcPr>
          <w:p w14:paraId="1A76A745" w14:textId="77777777" w:rsidR="007F298F" w:rsidRPr="00DD653D" w:rsidRDefault="007F298F" w:rsidP="007F298F">
            <w:pPr>
              <w:shd w:val="clear" w:color="auto" w:fill="FFFFFF" w:themeFill="background1"/>
              <w:spacing w:after="0" w:line="240" w:lineRule="auto"/>
              <w:rPr>
                <w:rFonts w:asciiTheme="majorHAnsi" w:hAnsiTheme="majorHAnsi"/>
                <w:sz w:val="20"/>
                <w:szCs w:val="20"/>
                <w:highlight w:val="yellow"/>
                <w:u w:val="single"/>
              </w:rPr>
            </w:pPr>
          </w:p>
        </w:tc>
      </w:tr>
      <w:tr w:rsidR="007F298F" w:rsidRPr="00DD653D" w14:paraId="28B9C4A4" w14:textId="77777777" w:rsidTr="005934C8">
        <w:trPr>
          <w:trHeight w:val="1124"/>
        </w:trPr>
        <w:tc>
          <w:tcPr>
            <w:tcW w:w="2062" w:type="pct"/>
            <w:shd w:val="clear" w:color="auto" w:fill="FFFFFF" w:themeFill="background1"/>
          </w:tcPr>
          <w:p w14:paraId="5A8F8337" w14:textId="377FD714" w:rsidR="007F298F" w:rsidRPr="00DD653D" w:rsidRDefault="007F298F" w:rsidP="007B16B6">
            <w:pPr>
              <w:shd w:val="clear" w:color="auto" w:fill="FFFFFF" w:themeFill="background1"/>
              <w:spacing w:after="0" w:line="240" w:lineRule="auto"/>
              <w:jc w:val="both"/>
              <w:rPr>
                <w:rFonts w:ascii="Verdana" w:hAnsi="Verdana"/>
                <w:sz w:val="18"/>
                <w:szCs w:val="18"/>
                <w:highlight w:val="yellow"/>
              </w:rPr>
            </w:pPr>
            <w:r w:rsidRPr="004D47D4">
              <w:rPr>
                <w:i/>
                <w:lang w:eastAsia="ja-JP"/>
              </w:rPr>
              <w:t xml:space="preserve">Partecipazione ad attività inerenti </w:t>
            </w:r>
            <w:proofErr w:type="gramStart"/>
            <w:r w:rsidRPr="004D47D4">
              <w:rPr>
                <w:i/>
                <w:lang w:eastAsia="ja-JP"/>
              </w:rPr>
              <w:t>l’erogazione</w:t>
            </w:r>
            <w:proofErr w:type="gramEnd"/>
            <w:r w:rsidRPr="004D47D4">
              <w:rPr>
                <w:i/>
                <w:lang w:eastAsia="ja-JP"/>
              </w:rPr>
              <w:t xml:space="preserve"> agli utenti del SSN di medicinali ed altro materiale sanitario afferenti alle aree della continuità assistenziale, ADI, assistenza protesica integrativa. Monitoraggio delle prescrizioni e verifiche di appropriatezza, per almeno n. 300 ore.  </w:t>
            </w:r>
            <w:r w:rsidRPr="004D47D4">
              <w:rPr>
                <w:lang w:eastAsia="ja-JP"/>
              </w:rPr>
              <w:t>(</w:t>
            </w:r>
            <w:r w:rsidR="007B16B6">
              <w:rPr>
                <w:lang w:eastAsia="ja-JP"/>
              </w:rPr>
              <w:t>27</w:t>
            </w:r>
            <w:r w:rsidRPr="004D47D4">
              <w:rPr>
                <w:lang w:eastAsia="ja-JP"/>
              </w:rPr>
              <w:t>0 ore)</w:t>
            </w:r>
          </w:p>
        </w:tc>
        <w:tc>
          <w:tcPr>
            <w:tcW w:w="1552" w:type="pct"/>
            <w:shd w:val="clear" w:color="auto" w:fill="FFFFFF" w:themeFill="background1"/>
          </w:tcPr>
          <w:p w14:paraId="4EA9B39D" w14:textId="323D2F10" w:rsidR="007F298F" w:rsidRPr="004D47D4" w:rsidRDefault="007F298F" w:rsidP="007F298F">
            <w:pPr>
              <w:shd w:val="clear" w:color="auto" w:fill="FFFFFF" w:themeFill="background1"/>
              <w:spacing w:after="240" w:line="240" w:lineRule="auto"/>
              <w:jc w:val="center"/>
              <w:rPr>
                <w:sz w:val="20"/>
                <w:szCs w:val="20"/>
              </w:rPr>
            </w:pPr>
            <w:r w:rsidRPr="004D47D4">
              <w:rPr>
                <w:sz w:val="20"/>
                <w:szCs w:val="20"/>
              </w:rPr>
              <w:t>C.I. FARMACEUTICA TERRITORIALE II</w:t>
            </w:r>
          </w:p>
          <w:p w14:paraId="5F5C77AF" w14:textId="6295EF04" w:rsidR="007F298F" w:rsidRPr="004D47D4" w:rsidRDefault="007F298F" w:rsidP="007F298F">
            <w:pPr>
              <w:shd w:val="clear" w:color="auto" w:fill="FFFFFF" w:themeFill="background1"/>
              <w:tabs>
                <w:tab w:val="num" w:pos="465"/>
              </w:tabs>
              <w:spacing w:after="60" w:line="240" w:lineRule="auto"/>
              <w:jc w:val="center"/>
              <w:rPr>
                <w:sz w:val="20"/>
                <w:szCs w:val="20"/>
                <w:highlight w:val="yellow"/>
                <w:u w:val="single"/>
              </w:rPr>
            </w:pPr>
            <w:r w:rsidRPr="004D47D4">
              <w:rPr>
                <w:sz w:val="20"/>
                <w:szCs w:val="20"/>
              </w:rPr>
              <w:t>Attività di erogazione agli utenti del SSN di medicinali ed altro materiale sanitario</w:t>
            </w:r>
          </w:p>
        </w:tc>
        <w:tc>
          <w:tcPr>
            <w:tcW w:w="381" w:type="pct"/>
            <w:shd w:val="clear" w:color="auto" w:fill="FFFFFF" w:themeFill="background1"/>
          </w:tcPr>
          <w:p w14:paraId="796852C2" w14:textId="77777777" w:rsidR="007F298F" w:rsidRPr="00DD653D" w:rsidRDefault="007F298F" w:rsidP="007F298F">
            <w:pPr>
              <w:widowControl w:val="0"/>
              <w:shd w:val="clear" w:color="auto" w:fill="FFFFFF" w:themeFill="background1"/>
              <w:autoSpaceDE w:val="0"/>
              <w:autoSpaceDN w:val="0"/>
              <w:adjustRightInd w:val="0"/>
              <w:spacing w:after="0" w:line="240" w:lineRule="auto"/>
              <w:jc w:val="center"/>
              <w:rPr>
                <w:highlight w:val="yellow"/>
              </w:rPr>
            </w:pPr>
            <w:r w:rsidRPr="004D47D4">
              <w:t>BIO/14</w:t>
            </w:r>
          </w:p>
        </w:tc>
        <w:tc>
          <w:tcPr>
            <w:tcW w:w="402" w:type="pct"/>
            <w:shd w:val="clear" w:color="auto" w:fill="FFFFFF" w:themeFill="background1"/>
          </w:tcPr>
          <w:p w14:paraId="323BC2AE" w14:textId="098AA18E" w:rsidR="007F298F" w:rsidRPr="004D47D4" w:rsidRDefault="007F298F" w:rsidP="007F298F">
            <w:pPr>
              <w:shd w:val="clear" w:color="auto" w:fill="FFFFFF" w:themeFill="background1"/>
              <w:spacing w:after="0" w:line="240" w:lineRule="auto"/>
              <w:jc w:val="center"/>
            </w:pPr>
            <w:r w:rsidRPr="004D47D4">
              <w:t>9 CFU</w:t>
            </w:r>
          </w:p>
          <w:p w14:paraId="39A85DC2" w14:textId="785BC41A" w:rsidR="007F298F" w:rsidRPr="004D47D4" w:rsidRDefault="007F298F" w:rsidP="007F298F">
            <w:pPr>
              <w:widowControl w:val="0"/>
              <w:shd w:val="clear" w:color="auto" w:fill="FFFFFF" w:themeFill="background1"/>
              <w:autoSpaceDE w:val="0"/>
              <w:autoSpaceDN w:val="0"/>
              <w:adjustRightInd w:val="0"/>
              <w:spacing w:after="0" w:line="240" w:lineRule="auto"/>
              <w:jc w:val="center"/>
              <w:rPr>
                <w:b/>
                <w:u w:val="single"/>
              </w:rPr>
            </w:pPr>
            <w:r w:rsidRPr="004D47D4">
              <w:t>270 ore</w:t>
            </w:r>
          </w:p>
        </w:tc>
        <w:tc>
          <w:tcPr>
            <w:tcW w:w="603" w:type="pct"/>
            <w:shd w:val="clear" w:color="auto" w:fill="FFFFFF" w:themeFill="background1"/>
          </w:tcPr>
          <w:p w14:paraId="0B21BF6F" w14:textId="451B6BDC" w:rsidR="007F298F" w:rsidRPr="004D47D4" w:rsidRDefault="007F298F" w:rsidP="007F298F">
            <w:pPr>
              <w:shd w:val="clear" w:color="auto" w:fill="FFFFFF" w:themeFill="background1"/>
              <w:spacing w:after="0" w:line="240" w:lineRule="auto"/>
              <w:jc w:val="center"/>
              <w:rPr>
                <w:sz w:val="20"/>
                <w:szCs w:val="20"/>
              </w:rPr>
            </w:pPr>
          </w:p>
        </w:tc>
      </w:tr>
      <w:tr w:rsidR="007F298F" w:rsidRPr="00DD653D" w14:paraId="22C60C51" w14:textId="77777777" w:rsidTr="004D47D4">
        <w:trPr>
          <w:trHeight w:val="1334"/>
        </w:trPr>
        <w:tc>
          <w:tcPr>
            <w:tcW w:w="2062" w:type="pct"/>
            <w:shd w:val="clear" w:color="auto" w:fill="FFFFFF" w:themeFill="background1"/>
          </w:tcPr>
          <w:p w14:paraId="79B98DB5" w14:textId="66FB4915" w:rsidR="007F298F" w:rsidRPr="00DD653D" w:rsidRDefault="007F298F" w:rsidP="007F298F">
            <w:pPr>
              <w:shd w:val="clear" w:color="auto" w:fill="FFFFFF" w:themeFill="background1"/>
              <w:tabs>
                <w:tab w:val="num" w:pos="465"/>
              </w:tabs>
              <w:spacing w:after="60" w:line="240" w:lineRule="auto"/>
              <w:jc w:val="both"/>
              <w:rPr>
                <w:sz w:val="16"/>
                <w:szCs w:val="16"/>
                <w:highlight w:val="yellow"/>
              </w:rPr>
            </w:pPr>
            <w:r w:rsidRPr="0003494E">
              <w:rPr>
                <w:i/>
                <w:lang w:eastAsia="ja-JP"/>
              </w:rPr>
              <w:t>Partecipazione e/o analisi dei percorsi riguardanti i procedimenti istruttori degli Atti amministrativi in tema di farmacie e distribuzione all’ingrosso dei medicinali, assunti dagli organi competenti (A.USL, Sindaco, Regione, Provincia), per almeno n. 50 ore.</w:t>
            </w:r>
            <w:r w:rsidR="00585AED">
              <w:rPr>
                <w:i/>
                <w:lang w:eastAsia="ja-JP"/>
              </w:rPr>
              <w:t xml:space="preserve"> </w:t>
            </w:r>
            <w:r w:rsidRPr="00E363B7">
              <w:rPr>
                <w:lang w:eastAsia="ja-JP"/>
              </w:rPr>
              <w:t>(60 ore)</w:t>
            </w:r>
          </w:p>
        </w:tc>
        <w:tc>
          <w:tcPr>
            <w:tcW w:w="1552" w:type="pct"/>
            <w:shd w:val="clear" w:color="auto" w:fill="FFFFFF" w:themeFill="background1"/>
          </w:tcPr>
          <w:p w14:paraId="5E7E598E" w14:textId="10FE75D1" w:rsidR="007F298F" w:rsidRPr="004D47D4" w:rsidRDefault="007F298F" w:rsidP="007F298F">
            <w:pPr>
              <w:shd w:val="clear" w:color="auto" w:fill="FFFFFF" w:themeFill="background1"/>
              <w:spacing w:after="240" w:line="240" w:lineRule="auto"/>
              <w:jc w:val="center"/>
              <w:rPr>
                <w:sz w:val="20"/>
                <w:szCs w:val="20"/>
              </w:rPr>
            </w:pPr>
            <w:r w:rsidRPr="004D47D4">
              <w:rPr>
                <w:sz w:val="20"/>
                <w:szCs w:val="20"/>
              </w:rPr>
              <w:t>C.I. FARMACEUTICA TERRITORIALE II</w:t>
            </w:r>
          </w:p>
          <w:p w14:paraId="303E7FB8" w14:textId="76D3789F" w:rsidR="007F298F" w:rsidRPr="004D47D4" w:rsidRDefault="007F298F" w:rsidP="007F298F">
            <w:pPr>
              <w:shd w:val="clear" w:color="auto" w:fill="FFFFFF" w:themeFill="background1"/>
              <w:tabs>
                <w:tab w:val="num" w:pos="465"/>
              </w:tabs>
              <w:spacing w:after="60" w:line="240" w:lineRule="auto"/>
              <w:jc w:val="center"/>
              <w:rPr>
                <w:sz w:val="20"/>
                <w:szCs w:val="20"/>
                <w:highlight w:val="yellow"/>
                <w:u w:val="single"/>
              </w:rPr>
            </w:pPr>
            <w:r w:rsidRPr="004D47D4">
              <w:rPr>
                <w:sz w:val="20"/>
                <w:szCs w:val="20"/>
              </w:rPr>
              <w:t>Analisi atti amministrativi per farmacie, parafarmacie e distribuzione all’ingrosso dei farmaci e gas medicinali</w:t>
            </w:r>
          </w:p>
        </w:tc>
        <w:tc>
          <w:tcPr>
            <w:tcW w:w="381" w:type="pct"/>
            <w:shd w:val="clear" w:color="auto" w:fill="FFFFFF" w:themeFill="background1"/>
          </w:tcPr>
          <w:p w14:paraId="68B6753B" w14:textId="6BAE18E8" w:rsidR="007F298F" w:rsidRPr="00DD653D" w:rsidRDefault="007F298F" w:rsidP="007F298F">
            <w:pPr>
              <w:widowControl w:val="0"/>
              <w:shd w:val="clear" w:color="auto" w:fill="FFFFFF" w:themeFill="background1"/>
              <w:autoSpaceDE w:val="0"/>
              <w:autoSpaceDN w:val="0"/>
              <w:adjustRightInd w:val="0"/>
              <w:spacing w:after="0" w:line="240" w:lineRule="auto"/>
              <w:jc w:val="center"/>
              <w:rPr>
                <w:highlight w:val="yellow"/>
              </w:rPr>
            </w:pPr>
            <w:r w:rsidRPr="004D47D4">
              <w:t>CHIM/09</w:t>
            </w:r>
          </w:p>
        </w:tc>
        <w:tc>
          <w:tcPr>
            <w:tcW w:w="402" w:type="pct"/>
            <w:shd w:val="clear" w:color="auto" w:fill="FFFFFF" w:themeFill="background1"/>
          </w:tcPr>
          <w:p w14:paraId="3ABC4BE6" w14:textId="059AC5B6" w:rsidR="007F298F" w:rsidRPr="004D47D4" w:rsidRDefault="007F298F" w:rsidP="007F298F">
            <w:pPr>
              <w:shd w:val="clear" w:color="auto" w:fill="FFFFFF" w:themeFill="background1"/>
              <w:spacing w:after="0" w:line="240" w:lineRule="auto"/>
              <w:jc w:val="center"/>
            </w:pPr>
            <w:r w:rsidRPr="004D47D4">
              <w:t>2 CFU</w:t>
            </w:r>
          </w:p>
          <w:p w14:paraId="64B88CDF" w14:textId="0A5B9480" w:rsidR="007F298F" w:rsidRPr="00DD653D" w:rsidRDefault="007F298F" w:rsidP="007F298F">
            <w:pPr>
              <w:widowControl w:val="0"/>
              <w:shd w:val="clear" w:color="auto" w:fill="FFFFFF" w:themeFill="background1"/>
              <w:autoSpaceDE w:val="0"/>
              <w:autoSpaceDN w:val="0"/>
              <w:adjustRightInd w:val="0"/>
              <w:spacing w:after="0" w:line="240" w:lineRule="auto"/>
              <w:jc w:val="center"/>
              <w:rPr>
                <w:b/>
                <w:highlight w:val="yellow"/>
                <w:u w:val="single"/>
              </w:rPr>
            </w:pPr>
            <w:r w:rsidRPr="004D47D4">
              <w:t>60 ore</w:t>
            </w:r>
          </w:p>
        </w:tc>
        <w:tc>
          <w:tcPr>
            <w:tcW w:w="603" w:type="pct"/>
            <w:shd w:val="clear" w:color="auto" w:fill="FFFFFF" w:themeFill="background1"/>
          </w:tcPr>
          <w:p w14:paraId="17012A72" w14:textId="4805A54C" w:rsidR="007F298F" w:rsidRPr="00DD653D" w:rsidRDefault="007F298F" w:rsidP="007F298F">
            <w:pPr>
              <w:shd w:val="clear" w:color="auto" w:fill="FFFFFF" w:themeFill="background1"/>
              <w:spacing w:after="0" w:line="240" w:lineRule="auto"/>
              <w:jc w:val="center"/>
              <w:rPr>
                <w:sz w:val="20"/>
                <w:szCs w:val="20"/>
                <w:highlight w:val="yellow"/>
              </w:rPr>
            </w:pPr>
          </w:p>
        </w:tc>
      </w:tr>
      <w:tr w:rsidR="007F298F" w:rsidRPr="00DD653D" w14:paraId="3B1C3A9F" w14:textId="77777777" w:rsidTr="005934C8">
        <w:trPr>
          <w:trHeight w:hRule="exact" w:val="10"/>
        </w:trPr>
        <w:tc>
          <w:tcPr>
            <w:tcW w:w="2062" w:type="pct"/>
            <w:shd w:val="clear" w:color="auto" w:fill="FFFFFF" w:themeFill="background1"/>
          </w:tcPr>
          <w:p w14:paraId="59B543A6" w14:textId="77777777" w:rsidR="007F298F" w:rsidRPr="00DD653D" w:rsidRDefault="007F298F" w:rsidP="007F298F">
            <w:pPr>
              <w:pBdr>
                <w:top w:val="single" w:sz="4" w:space="1" w:color="auto"/>
              </w:pBdr>
              <w:shd w:val="clear" w:color="auto" w:fill="FFFFFF" w:themeFill="background1"/>
              <w:spacing w:after="120" w:line="240" w:lineRule="auto"/>
              <w:jc w:val="both"/>
              <w:rPr>
                <w:highlight w:val="yellow"/>
              </w:rPr>
            </w:pPr>
            <w:r w:rsidRPr="00DD653D">
              <w:rPr>
                <w:b/>
                <w:highlight w:val="yellow"/>
                <w:u w:val="single"/>
              </w:rPr>
              <w:t>OBIETTIVI:</w:t>
            </w:r>
            <w:r w:rsidRPr="00DD653D">
              <w:rPr>
                <w:b/>
                <w:highlight w:val="yellow"/>
              </w:rPr>
              <w:t xml:space="preserve"> </w:t>
            </w:r>
            <w:r w:rsidRPr="00DD653D">
              <w:rPr>
                <w:highlight w:val="yellow"/>
              </w:rPr>
              <w:t>alla fine del corso lo specializzando è in grado di grado di monitorare le reazioni avverse e di valutare le schede di segnalazione ADR e IMI. Conosce il vocabolario MEDRA per la classificazione di eventi avversi.</w:t>
            </w:r>
          </w:p>
          <w:p w14:paraId="19F10C0D" w14:textId="77777777" w:rsidR="007F298F" w:rsidRPr="00DD653D" w:rsidRDefault="007F298F" w:rsidP="007F298F">
            <w:pPr>
              <w:pBdr>
                <w:top w:val="single" w:sz="4" w:space="1" w:color="auto"/>
              </w:pBdr>
              <w:shd w:val="clear" w:color="auto" w:fill="FFFFFF" w:themeFill="background1"/>
              <w:autoSpaceDE w:val="0"/>
              <w:autoSpaceDN w:val="0"/>
              <w:adjustRightInd w:val="0"/>
              <w:spacing w:after="0" w:line="240" w:lineRule="auto"/>
              <w:jc w:val="both"/>
              <w:rPr>
                <w:b/>
                <w:sz w:val="16"/>
                <w:szCs w:val="16"/>
                <w:highlight w:val="yellow"/>
                <w:lang w:eastAsia="ja-JP"/>
              </w:rPr>
            </w:pPr>
            <w:r w:rsidRPr="00DD653D">
              <w:rPr>
                <w:b/>
                <w:highlight w:val="yellow"/>
                <w:u w:val="single"/>
              </w:rPr>
              <w:t xml:space="preserve">REQUISITO </w:t>
            </w:r>
            <w:proofErr w:type="gramStart"/>
            <w:r w:rsidRPr="00DD653D">
              <w:rPr>
                <w:b/>
                <w:highlight w:val="yellow"/>
                <w:u w:val="single"/>
              </w:rPr>
              <w:t>ASSISTENZIALE:</w:t>
            </w:r>
            <w:r w:rsidRPr="00DD653D">
              <w:rPr>
                <w:b/>
                <w:highlight w:val="yellow"/>
              </w:rPr>
              <w:t xml:space="preserve"> </w:t>
            </w:r>
            <w:r w:rsidRPr="00DD653D">
              <w:rPr>
                <w:color w:val="0000FF"/>
                <w:sz w:val="16"/>
                <w:szCs w:val="16"/>
                <w:highlight w:val="yellow"/>
                <w:lang w:eastAsia="ja-JP"/>
              </w:rPr>
              <w:t xml:space="preserve"> </w:t>
            </w:r>
            <w:r w:rsidRPr="00DD653D">
              <w:rPr>
                <w:i/>
                <w:highlight w:val="yellow"/>
                <w:lang w:eastAsia="ja-JP"/>
              </w:rPr>
              <w:t>Partecipazione</w:t>
            </w:r>
            <w:proofErr w:type="gramEnd"/>
            <w:r w:rsidRPr="00DD653D">
              <w:rPr>
                <w:i/>
                <w:highlight w:val="yellow"/>
                <w:lang w:eastAsia="ja-JP"/>
              </w:rPr>
              <w:t xml:space="preserve"> alle attività di raccolta, analisi e monitoraggio delle segnalazioni di reazioni avverse da farmaci, incidenti/mancati incidenti conseguenti all’impiego di dispositivi medici per un totale di almeno 200 ore. </w:t>
            </w:r>
            <w:r w:rsidRPr="00DD653D">
              <w:rPr>
                <w:b/>
                <w:i/>
                <w:highlight w:val="yellow"/>
                <w:lang w:eastAsia="ja-JP"/>
              </w:rPr>
              <w:t>(210</w:t>
            </w:r>
            <w:r w:rsidRPr="00DD653D">
              <w:rPr>
                <w:b/>
                <w:highlight w:val="yellow"/>
                <w:lang w:eastAsia="ja-JP"/>
              </w:rPr>
              <w:t xml:space="preserve"> ore)</w:t>
            </w:r>
          </w:p>
        </w:tc>
        <w:tc>
          <w:tcPr>
            <w:tcW w:w="1552" w:type="pct"/>
            <w:shd w:val="clear" w:color="auto" w:fill="FFFFFF" w:themeFill="background1"/>
          </w:tcPr>
          <w:p w14:paraId="4F6812E8" w14:textId="77777777" w:rsidR="007F298F" w:rsidRPr="00DD653D" w:rsidRDefault="007F298F" w:rsidP="007F298F">
            <w:pPr>
              <w:pBdr>
                <w:top w:val="single" w:sz="4" w:space="1" w:color="auto"/>
              </w:pBdr>
              <w:shd w:val="clear" w:color="auto" w:fill="FFFFFF" w:themeFill="background1"/>
              <w:spacing w:after="120" w:line="240" w:lineRule="auto"/>
              <w:jc w:val="both"/>
              <w:rPr>
                <w:b/>
                <w:highlight w:val="yellow"/>
                <w:u w:val="single"/>
              </w:rPr>
            </w:pPr>
          </w:p>
        </w:tc>
        <w:tc>
          <w:tcPr>
            <w:tcW w:w="381" w:type="pct"/>
            <w:shd w:val="clear" w:color="auto" w:fill="FFFFFF" w:themeFill="background1"/>
          </w:tcPr>
          <w:p w14:paraId="66AA335C" w14:textId="77777777" w:rsidR="007F298F" w:rsidRPr="00DD653D" w:rsidRDefault="007F298F" w:rsidP="007F298F">
            <w:pPr>
              <w:pBdr>
                <w:top w:val="single" w:sz="4" w:space="1" w:color="auto"/>
              </w:pBdr>
              <w:shd w:val="clear" w:color="auto" w:fill="FFFFFF" w:themeFill="background1"/>
              <w:spacing w:after="120" w:line="240" w:lineRule="auto"/>
              <w:jc w:val="both"/>
              <w:rPr>
                <w:b/>
                <w:highlight w:val="yellow"/>
                <w:u w:val="single"/>
              </w:rPr>
            </w:pPr>
          </w:p>
        </w:tc>
        <w:tc>
          <w:tcPr>
            <w:tcW w:w="402" w:type="pct"/>
            <w:shd w:val="clear" w:color="auto" w:fill="FFFFFF" w:themeFill="background1"/>
          </w:tcPr>
          <w:p w14:paraId="2A812B89" w14:textId="77777777" w:rsidR="007F298F" w:rsidRPr="00DD653D" w:rsidRDefault="007F298F" w:rsidP="007F298F">
            <w:pPr>
              <w:pBdr>
                <w:top w:val="single" w:sz="4" w:space="1" w:color="auto"/>
              </w:pBdr>
              <w:shd w:val="clear" w:color="auto" w:fill="FFFFFF" w:themeFill="background1"/>
              <w:spacing w:after="120" w:line="240" w:lineRule="auto"/>
              <w:jc w:val="both"/>
              <w:rPr>
                <w:b/>
                <w:highlight w:val="yellow"/>
                <w:u w:val="single"/>
              </w:rPr>
            </w:pPr>
          </w:p>
        </w:tc>
        <w:tc>
          <w:tcPr>
            <w:tcW w:w="603" w:type="pct"/>
            <w:shd w:val="clear" w:color="auto" w:fill="FFFFFF" w:themeFill="background1"/>
          </w:tcPr>
          <w:p w14:paraId="386FFBD0" w14:textId="77777777" w:rsidR="007F298F" w:rsidRPr="00DD653D" w:rsidRDefault="007F298F" w:rsidP="007F298F">
            <w:pPr>
              <w:pBdr>
                <w:top w:val="single" w:sz="4" w:space="1" w:color="auto"/>
              </w:pBdr>
              <w:shd w:val="clear" w:color="auto" w:fill="FFFFFF" w:themeFill="background1"/>
              <w:spacing w:after="120" w:line="240" w:lineRule="auto"/>
              <w:jc w:val="both"/>
              <w:rPr>
                <w:sz w:val="20"/>
                <w:szCs w:val="20"/>
                <w:highlight w:val="yellow"/>
                <w:u w:val="single"/>
              </w:rPr>
            </w:pPr>
          </w:p>
        </w:tc>
      </w:tr>
      <w:tr w:rsidR="007F298F" w:rsidRPr="00797E1C" w14:paraId="734DA3AC" w14:textId="77777777" w:rsidTr="005934C8">
        <w:trPr>
          <w:trHeight w:val="274"/>
        </w:trPr>
        <w:tc>
          <w:tcPr>
            <w:tcW w:w="2062" w:type="pct"/>
            <w:shd w:val="clear" w:color="auto" w:fill="FFFFFF" w:themeFill="background1"/>
          </w:tcPr>
          <w:p w14:paraId="4501BA5B" w14:textId="512F8631" w:rsidR="007F298F" w:rsidRPr="007F298F" w:rsidRDefault="007F298F" w:rsidP="007F298F">
            <w:pPr>
              <w:shd w:val="clear" w:color="auto" w:fill="FFFFFF" w:themeFill="background1"/>
            </w:pPr>
            <w:r w:rsidRPr="007F298F">
              <w:t>TOTALE – II ANNO</w:t>
            </w:r>
          </w:p>
        </w:tc>
        <w:tc>
          <w:tcPr>
            <w:tcW w:w="1552" w:type="pct"/>
            <w:shd w:val="clear" w:color="auto" w:fill="FFFFFF" w:themeFill="background1"/>
          </w:tcPr>
          <w:p w14:paraId="6E5711AB" w14:textId="77777777" w:rsidR="007F298F" w:rsidRPr="007F298F" w:rsidRDefault="007F298F" w:rsidP="007F298F">
            <w:pPr>
              <w:shd w:val="clear" w:color="auto" w:fill="FFFFFF" w:themeFill="background1"/>
              <w:spacing w:after="0" w:line="240" w:lineRule="auto"/>
            </w:pPr>
          </w:p>
        </w:tc>
        <w:tc>
          <w:tcPr>
            <w:tcW w:w="381" w:type="pct"/>
            <w:shd w:val="clear" w:color="auto" w:fill="FFFFFF" w:themeFill="background1"/>
          </w:tcPr>
          <w:p w14:paraId="1D4DBA72" w14:textId="77777777" w:rsidR="007F298F" w:rsidRPr="007F298F" w:rsidRDefault="007F298F" w:rsidP="007F298F">
            <w:pPr>
              <w:shd w:val="clear" w:color="auto" w:fill="FFFFFF" w:themeFill="background1"/>
              <w:spacing w:after="0" w:line="240" w:lineRule="auto"/>
            </w:pPr>
          </w:p>
        </w:tc>
        <w:tc>
          <w:tcPr>
            <w:tcW w:w="402" w:type="pct"/>
            <w:shd w:val="clear" w:color="auto" w:fill="FFFFFF" w:themeFill="background1"/>
          </w:tcPr>
          <w:p w14:paraId="49F65B7D" w14:textId="77366628" w:rsidR="007F298F" w:rsidRPr="007F298F" w:rsidRDefault="007F298F" w:rsidP="007F298F">
            <w:pPr>
              <w:shd w:val="clear" w:color="auto" w:fill="FFFFFF" w:themeFill="background1"/>
              <w:spacing w:after="0" w:line="240" w:lineRule="auto"/>
              <w:jc w:val="center"/>
              <w:rPr>
                <w:sz w:val="20"/>
                <w:szCs w:val="20"/>
              </w:rPr>
            </w:pPr>
            <w:r w:rsidRPr="007F298F">
              <w:rPr>
                <w:sz w:val="20"/>
                <w:szCs w:val="20"/>
              </w:rPr>
              <w:t>51 CFU</w:t>
            </w:r>
          </w:p>
          <w:p w14:paraId="0B20AD78" w14:textId="1CF8BA61" w:rsidR="007F298F" w:rsidRPr="007F298F" w:rsidRDefault="007F298F" w:rsidP="007F298F">
            <w:pPr>
              <w:shd w:val="clear" w:color="auto" w:fill="FFFFFF" w:themeFill="background1"/>
              <w:spacing w:after="0" w:line="240" w:lineRule="auto"/>
              <w:jc w:val="center"/>
              <w:rPr>
                <w:b/>
              </w:rPr>
            </w:pPr>
            <w:r w:rsidRPr="007F298F">
              <w:rPr>
                <w:sz w:val="20"/>
                <w:szCs w:val="20"/>
              </w:rPr>
              <w:t>1530 ore</w:t>
            </w:r>
          </w:p>
        </w:tc>
        <w:tc>
          <w:tcPr>
            <w:tcW w:w="603" w:type="pct"/>
          </w:tcPr>
          <w:p w14:paraId="7FAB8D03" w14:textId="77777777" w:rsidR="007F298F" w:rsidRPr="00635AC6" w:rsidRDefault="007F298F" w:rsidP="007F298F">
            <w:pPr>
              <w:shd w:val="clear" w:color="auto" w:fill="FFFFFF" w:themeFill="background1"/>
              <w:spacing w:after="0" w:line="240" w:lineRule="auto"/>
              <w:rPr>
                <w:sz w:val="20"/>
                <w:szCs w:val="20"/>
              </w:rPr>
            </w:pPr>
          </w:p>
        </w:tc>
      </w:tr>
    </w:tbl>
    <w:p w14:paraId="33B66AF7" w14:textId="77777777" w:rsidR="008B5FC3" w:rsidRDefault="008B5FC3" w:rsidP="001E6F2E">
      <w:pPr>
        <w:ind w:right="-858"/>
      </w:pPr>
    </w:p>
    <w:sectPr w:rsidR="008B5FC3" w:rsidSect="007F298F">
      <w:pgSz w:w="16840" w:h="11900" w:orient="landscape"/>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2F898" w14:textId="77777777" w:rsidR="002D1F11" w:rsidRDefault="002D1F11" w:rsidP="00585AED">
      <w:pPr>
        <w:spacing w:after="0" w:line="240" w:lineRule="auto"/>
      </w:pPr>
      <w:r>
        <w:separator/>
      </w:r>
    </w:p>
  </w:endnote>
  <w:endnote w:type="continuationSeparator" w:id="0">
    <w:p w14:paraId="3838B965" w14:textId="77777777" w:rsidR="002D1F11" w:rsidRDefault="002D1F11" w:rsidP="00585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B5AA2" w14:textId="77777777" w:rsidR="002D1F11" w:rsidRDefault="002D1F11" w:rsidP="00585AED">
      <w:pPr>
        <w:spacing w:after="0" w:line="240" w:lineRule="auto"/>
      </w:pPr>
      <w:r>
        <w:separator/>
      </w:r>
    </w:p>
  </w:footnote>
  <w:footnote w:type="continuationSeparator" w:id="0">
    <w:p w14:paraId="0B57B68E" w14:textId="77777777" w:rsidR="002D1F11" w:rsidRDefault="002D1F11" w:rsidP="00585A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575"/>
    <w:rsid w:val="0002692B"/>
    <w:rsid w:val="00056F4A"/>
    <w:rsid w:val="000D09B5"/>
    <w:rsid w:val="001444D5"/>
    <w:rsid w:val="00163BFD"/>
    <w:rsid w:val="00167F2C"/>
    <w:rsid w:val="001A1153"/>
    <w:rsid w:val="001C2DB8"/>
    <w:rsid w:val="001E6F2E"/>
    <w:rsid w:val="0020542D"/>
    <w:rsid w:val="00212F1D"/>
    <w:rsid w:val="00213C6B"/>
    <w:rsid w:val="002D1F11"/>
    <w:rsid w:val="002E47AE"/>
    <w:rsid w:val="003320EB"/>
    <w:rsid w:val="00355A13"/>
    <w:rsid w:val="0036590A"/>
    <w:rsid w:val="0038173D"/>
    <w:rsid w:val="00382690"/>
    <w:rsid w:val="003A2CDA"/>
    <w:rsid w:val="00406852"/>
    <w:rsid w:val="004D47D4"/>
    <w:rsid w:val="004D4F1B"/>
    <w:rsid w:val="00585AED"/>
    <w:rsid w:val="00591480"/>
    <w:rsid w:val="005934C8"/>
    <w:rsid w:val="005C0078"/>
    <w:rsid w:val="005F42BB"/>
    <w:rsid w:val="00635AC6"/>
    <w:rsid w:val="00705247"/>
    <w:rsid w:val="00747219"/>
    <w:rsid w:val="007B16B6"/>
    <w:rsid w:val="007F298F"/>
    <w:rsid w:val="008970C1"/>
    <w:rsid w:val="008B5FC3"/>
    <w:rsid w:val="008F4575"/>
    <w:rsid w:val="0090288E"/>
    <w:rsid w:val="00A20E09"/>
    <w:rsid w:val="00A47756"/>
    <w:rsid w:val="00B077BC"/>
    <w:rsid w:val="00B13CFB"/>
    <w:rsid w:val="00B9647E"/>
    <w:rsid w:val="00BD0CB6"/>
    <w:rsid w:val="00BD29F9"/>
    <w:rsid w:val="00BF40CA"/>
    <w:rsid w:val="00C7532E"/>
    <w:rsid w:val="00CE0808"/>
    <w:rsid w:val="00D00716"/>
    <w:rsid w:val="00D94800"/>
    <w:rsid w:val="00DB7DE6"/>
    <w:rsid w:val="00DD653D"/>
    <w:rsid w:val="00E871A1"/>
    <w:rsid w:val="00E92E3E"/>
    <w:rsid w:val="00FB00B5"/>
    <w:rsid w:val="00FB2CD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F3831C"/>
  <w14:defaultImageDpi w14:val="300"/>
  <w15:docId w15:val="{D8621F10-64D4-4B91-9650-4C861362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F4575"/>
    <w:pPr>
      <w:spacing w:after="200" w:line="276" w:lineRule="auto"/>
    </w:pPr>
    <w:rPr>
      <w:rFonts w:ascii="Calibri" w:eastAsia="Calibri" w:hAnsi="Calibri" w:cs="Times New Roman"/>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E47A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47AE"/>
    <w:rPr>
      <w:rFonts w:ascii="Tahoma" w:eastAsia="Calibri" w:hAnsi="Tahoma" w:cs="Tahoma"/>
      <w:sz w:val="16"/>
      <w:szCs w:val="16"/>
      <w:lang w:eastAsia="en-US"/>
    </w:rPr>
  </w:style>
  <w:style w:type="paragraph" w:styleId="Intestazione">
    <w:name w:val="header"/>
    <w:basedOn w:val="Normale"/>
    <w:link w:val="IntestazioneCarattere"/>
    <w:uiPriority w:val="99"/>
    <w:unhideWhenUsed/>
    <w:rsid w:val="00A47756"/>
    <w:pPr>
      <w:tabs>
        <w:tab w:val="center" w:pos="4819"/>
        <w:tab w:val="right" w:pos="9638"/>
      </w:tabs>
    </w:pPr>
    <w:rPr>
      <w:lang w:val="x-none"/>
    </w:rPr>
  </w:style>
  <w:style w:type="character" w:customStyle="1" w:styleId="IntestazioneCarattere">
    <w:name w:val="Intestazione Carattere"/>
    <w:basedOn w:val="Carpredefinitoparagrafo"/>
    <w:link w:val="Intestazione"/>
    <w:uiPriority w:val="99"/>
    <w:rsid w:val="00A47756"/>
    <w:rPr>
      <w:rFonts w:ascii="Calibri" w:eastAsia="Calibri" w:hAnsi="Calibri" w:cs="Times New Roman"/>
      <w:sz w:val="22"/>
      <w:szCs w:val="22"/>
      <w:lang w:val="x-none" w:eastAsia="en-US"/>
    </w:rPr>
  </w:style>
  <w:style w:type="paragraph" w:customStyle="1" w:styleId="Default">
    <w:name w:val="Default"/>
    <w:rsid w:val="00E871A1"/>
    <w:pPr>
      <w:autoSpaceDE w:val="0"/>
      <w:autoSpaceDN w:val="0"/>
      <w:adjustRightInd w:val="0"/>
    </w:pPr>
    <w:rPr>
      <w:rFonts w:ascii="Calibri" w:hAnsi="Calibri" w:cs="Calibri"/>
      <w:color w:val="000000"/>
    </w:rPr>
  </w:style>
  <w:style w:type="paragraph" w:styleId="Pidipagina">
    <w:name w:val="footer"/>
    <w:basedOn w:val="Normale"/>
    <w:link w:val="PidipaginaCarattere"/>
    <w:uiPriority w:val="99"/>
    <w:unhideWhenUsed/>
    <w:rsid w:val="00585A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5AED"/>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27F00-F98C-43A7-BE48-E6906B603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1141</Words>
  <Characters>6509</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Angela Vandelli</dc:creator>
  <cp:lastModifiedBy>utente</cp:lastModifiedBy>
  <cp:revision>2</cp:revision>
  <cp:lastPrinted>2018-10-04T11:47:00Z</cp:lastPrinted>
  <dcterms:created xsi:type="dcterms:W3CDTF">2022-10-19T23:29:00Z</dcterms:created>
  <dcterms:modified xsi:type="dcterms:W3CDTF">2022-10-19T23:29:00Z</dcterms:modified>
</cp:coreProperties>
</file>