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FARMACIA (D.M. 1147/22)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82828"/>
          <w:sz w:val="24"/>
          <w:szCs w:val="24"/>
          <w:rtl w:val="0"/>
        </w:rPr>
        <w:t xml:space="preserve">Chimica Farmaceutica e Tossicologica II (11 CFU; 88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Obiettivi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Al termine dell'insegnamento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lo/a studente/essa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avrà acquisito le conoscenze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integrate delle proprietà molecolari e chimico-fisiche dei farmaci, approfondendo le caratteristiche che ne influenzano le relazioni struttura-attività (SAR) da un punto di vista sia farmacocinetico sia farmacodinamico e il meccanismo molecolare alla base dell’azione terapeutica al fine di svolgere il ruolo di educatore sanitario in modo corretto. </w:t>
      </w:r>
      <w:r w:rsidDel="00000000" w:rsidR="00000000" w:rsidRPr="00000000">
        <w:rPr>
          <w:rFonts w:ascii="Calibri" w:cs="Calibri" w:eastAsia="Calibri" w:hAnsi="Calibri"/>
          <w:color w:val="3b3b3b"/>
          <w:sz w:val="24"/>
          <w:szCs w:val="24"/>
          <w:rtl w:val="0"/>
        </w:rPr>
        <w:t xml:space="preserve">Per una più completa comprensione degli obiettivi formativi si rimanda alla lettura dei risultati di apprendimento attesi.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L’insegnamento si integra con il corso di Chimica Farmaceutica e Tossicologica I per la trattazione delle principali classi di farmaci.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Prerequisiti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="240" w:lineRule="auto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Conoscenze approfondite della Chimica Organica e della reattività dei gruppi funzionali; conoscenze dei concetti alla base dei processi biochimici. Propedeuticità obbligatoria: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Chimica Farmaceutica e Tossicologica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Contenuti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scansione dei contenuti è da </w:t>
      </w:r>
      <w:r w:rsidDel="00000000" w:rsidR="00000000" w:rsidRPr="00000000">
        <w:rPr>
          <w:sz w:val="24"/>
          <w:szCs w:val="24"/>
          <w:rtl w:val="0"/>
        </w:rPr>
        <w:t xml:space="preserve">intendersi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come puramente indicativa. Essa può infatti subire modifiche nel corso dell’insegnamento, anche in funzione delle richieste degli studenti.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Introduzione al corso e principi di neurotrasmissione (0.5 CFU, 4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FARMACI ATTIVI SUL SISTEMA NERVOSO (6 CFU, 48 ore)</w:t>
        <w:br w:type="textWrapping"/>
        <w:t xml:space="preserve">Farmaci colinergici (8 ore)</w:t>
        <w:br w:type="textWrapping"/>
        <w:t xml:space="preserve">Farmaci adrenergici (8 ore)</w:t>
        <w:br w:type="textWrapping"/>
        <w:t xml:space="preserve">Farmaci dopaminergici (4 ore)</w:t>
        <w:br w:type="textWrapping"/>
        <w:t xml:space="preserve">Farmaci serotoninergici (4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Neurolettici (4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Antidepressivi (2 ore)</w:t>
        <w:br w:type="textWrapping"/>
        <w:t xml:space="preserve">Ansiolitici e sedativo-ipnotici (4 ore)</w:t>
        <w:br w:type="textWrapping"/>
        <w:t xml:space="preserve">Antiepilettici (4 ore)</w:t>
        <w:br w:type="textWrapping"/>
        <w:t xml:space="preserve">Analgesici-narcotici (8 ore)</w:t>
        <w:br w:type="textWrapping"/>
        <w:t xml:space="preserve">Anestetici generali e locali (2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strike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FARMACI ATTIVI SUL SISTEMA CARDIOVASCOLARE (2.5 CFU, 20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Glucosidi cardioattivi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Antianginosi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Calcio antagonisti</w:t>
        <w:br w:type="textWrapping"/>
        <w:t xml:space="preserve">Inibitori del sistema renina-angiotensina-aldosterone</w:t>
        <w:br w:type="textWrapping"/>
        <w:t xml:space="preserve">Diuretici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Antiaggreganti piastrinici, anticoagulanti, trombolitici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Farmaci per le iperlipidemie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  <w:t xml:space="preserve">FARMACI ATTIVI SUL SISTEMA ORMONALE (1.75 CFU, 14 ore)</w:t>
        <w:br w:type="textWrapping"/>
        <w:t xml:space="preserve">Androgeni, anabolizzanti e antiandrogeni</w:t>
        <w:br w:type="textWrapping"/>
        <w:t xml:space="preserve">Estrogeni e antiestrogeni</w:t>
        <w:br w:type="textWrapping"/>
        <w:t xml:space="preserve">Progestinici e antiprogestinici</w:t>
        <w:br w:type="textWrapping"/>
        <w:t xml:space="preserve">Ormoni corticosurrenalici e farmaci antiinfiammatori steroidei (FAS)</w:t>
        <w:br w:type="textWrapping"/>
        <w:t xml:space="preserve">Insulina e farmaci ipoglicemizzanti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Farmaci per l’osteoporosi (0.25 CFU, 2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Metodi didattici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L’attività didattica è svolta tramite lezioni frontali in aula (11 CFU, 88 ore). </w:t>
      </w:r>
      <w:r w:rsidDel="00000000" w:rsidR="00000000" w:rsidRPr="00000000">
        <w:rPr>
          <w:rFonts w:ascii="Calibri" w:cs="Calibri" w:eastAsia="Calibri" w:hAnsi="Calibri"/>
          <w:color w:val="3b3b3b"/>
          <w:sz w:val="24"/>
          <w:szCs w:val="24"/>
          <w:rtl w:val="0"/>
        </w:rPr>
        <w:t xml:space="preserve">E’ previsto un approccio trasmissivo ed interattivo, tramite l’utilizzo di mezzi audiovisivi con presentazioni power point.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Le lezioni saranno corredate da letture guidate di articoli scientifici rilevanti per la materia, dalla proiezione di video su specifici argomenti e da discussioni collegiali di case studies di interesse chimico-farmaceutico. Su richiesta degli studenti, saranno possibili approfondimenti e spiegazioni aggiuntive per facilitare l'apprendimento della materia.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ll materiale didattico (slides delle lezioni frontali e video) è a disposizione per tutti gli studenti iscritti all’insegnamento tramite una delle piattaforme messe a disposizione dall’Ateneo.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La frequenza alle lezioni è fortemente raccomandata al fine della proficua formazione dello studente. Il docente verifica la frequenza con modalità che verrà comunicata all’inizio delle lezioni.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L’insegnamento è erogato in lingua italiana.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Verifica dell'apprendimento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verifica dell’apprendimento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si articola in una prova scritta seguita da una prova orale. Il superamento della prova scritta costituisce condizione necessaria per l'ammissione alla prova orale.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L’esame scritto prevede un quesito strutturato su 6 farmaci, dei quali viene richiesta la struttura chimica, il nome e struttura del nucleo di riferimento, i gruppi funzionali presenti nella molecola, il pK</w:t>
      </w:r>
      <w:r w:rsidDel="00000000" w:rsidR="00000000" w:rsidRPr="00000000">
        <w:rPr>
          <w:rFonts w:ascii="Calibri" w:cs="Calibri" w:eastAsia="Calibri" w:hAnsi="Calibri"/>
          <w:color w:val="000000"/>
          <w:sz w:val="14"/>
          <w:szCs w:val="14"/>
          <w:vertAlign w:val="subscript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motivato e lo stato di ionizzazione a pH fisiologico, la categoria terapeutica e le relative relazioni-struttura attività (SAR), il meccanismo d’azione e la modalità di interazione con il target biologico, le eventuali associazioni terapeutiche motivate, la formazione di eventuali metaboliti tossici, gli effetti collaterali. Il tempo disponibile è di 90 minuti. Per il superamento della prova scritta lo/a studente/essa deve fornire risposta completa ad almeno 4 quesiti su 6. La valutazione della prova scritta prevede un giudizio (sufficiente, discreto, buono e ottimo), del quale si tiene conto nell’attribuzione del voto finale. La prova scritta viene corretta nell’arco di 1 settimana, in funzione del numero degli iscritti, e il risultato viene comunicato allo/a studente/essa tramite il sistema esse3.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Per gli studenti fr</w:t>
      </w:r>
      <w:r w:rsidDel="00000000" w:rsidR="00000000" w:rsidRPr="00000000">
        <w:rPr>
          <w:sz w:val="24"/>
          <w:szCs w:val="24"/>
          <w:rtl w:val="0"/>
        </w:rPr>
        <w:t xml:space="preserve">equentanti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della coorte regolarmente iscritta al III anno, è prevista la possibilità di svolgimento di due prove scritte parziali, delle quali una durante la sospensione delle attività didattiche nel periodo Pasquale e l’altra alla fine del corso. Ciascuna prova consta di un quesito strutturato su 3 farmaci, secondo le modalità precedentemente descritte. Il tempo disponibile per ciascun esame parziale è pari a 45 minuti. Per il superamento di ciascuna prova parziale lo/a studente/essa deve fornire risposta completa ad almeno 2 quesiti su 3. La valutazione delle prove parziali prevede un giudizio (sufficiente, discreto, buono e ottimo), del quale si tiene conto nell’attribuzione del voto finale. La prova scritta viene corretta nell’arco di 1 settimana, in funzione del numero degli iscritti, e il risultato viene comunicato allo/a studente/essa via mail istituzionale.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Durante la prova orale della durata di circa 20-30 minuti viene svolta una discussione sulle parti lasciate incompiute nello scritto e sono poste ulteriori domande per accertare che il candidato conosca le caratteristiche chimiche dei farmaci e le loro modalità di interazione con il target biologico.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alibri" w:cs="Calibri" w:eastAsia="Calibri" w:hAnsi="Calibri"/>
          <w:color w:val="3b3b3b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votazione finale viene espressa in trentesimi e tiene conto dei risultati globali ottenuti nella prova scritta e orale. </w:t>
      </w:r>
      <w:r w:rsidDel="00000000" w:rsidR="00000000" w:rsidRPr="00000000">
        <w:rPr>
          <w:rFonts w:ascii="Calibri" w:cs="Calibri" w:eastAsia="Calibri" w:hAnsi="Calibri"/>
          <w:color w:val="3b3b3b"/>
          <w:sz w:val="24"/>
          <w:szCs w:val="24"/>
          <w:rtl w:val="0"/>
        </w:rPr>
        <w:t xml:space="preserve">Nel caso di risposte molto esaurienti e articolate, lo/a studente/essa può essere meritevole di lode.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Materiale didattico fornito dal Docente.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Roche VF, Zito SW, Lemke TL, Williams DA, “Foye’s Principi di Chimica Farmaceutica”, VII Ed. Italiana, Piccin, Padova, 2021.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Patrick GL, An Introduction to Medicinal Chemistry, VII Ed., Oxford University Press, UK, 2022.</w:t>
      </w:r>
    </w:p>
    <w:p w:rsidR="00000000" w:rsidDel="00000000" w:rsidP="00000000" w:rsidRDefault="00000000" w:rsidRPr="00000000" w14:paraId="00000029">
      <w:pPr>
        <w:spacing w:after="280" w:before="28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Gasco A, Gualtieri F, Melchiorre C, “Chimica Farmaceutica”, II edizione, Casa Editrice Ambrosiana, Distribuzione Zanichelli, Bologna, 2020.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Risultati di apprendimento attesi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Conoscenza e comprensione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 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delle strutture chimiche, delle proprietà chimico-fisiche dei farmaci e delle relazioni struttura-attività (SAR);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MT" w:cs="ArialMT" w:eastAsia="ArialMT" w:hAnsi="ArialMT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- del meccanismo alla base dell’azione dei farmaci ivi incluse le interazioni con il target biologico, i processi metabolici e le principali associazioni terapeutiche</w:t>
      </w:r>
      <w:r w:rsidDel="00000000" w:rsidR="00000000" w:rsidRPr="00000000">
        <w:rPr>
          <w:rFonts w:ascii="ArialMT" w:cs="ArialMT" w:eastAsia="ArialMT" w:hAnsi="ArialMT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Capacità di applicare conoscenza e comprensione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nel riconoscere le strutture chimiche dei farmaci riconducendoli alle SAR della classe chimica di appartenenza;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nel descrivere il meccanismo d’azione, le modalità di interazione con il target biologico e i principali metaboliti;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nel riconoscere le principali associazioni terapeutiche, inquadrandole con sicurezza nel relativo ambito terapeutico.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Autonomia di giudizio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 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ArialMT" w:cs="ArialMT" w:eastAsia="ArialMT" w:hAnsi="ArialMT"/>
          <w:sz w:val="18"/>
          <w:szCs w:val="18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dispensare correttamente i medicinali, tenendo conto della prescrizione del medico delle specifiche esigenze del paziente;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- consigliare correttamente i medicinali di automedicazione e i prodotti per la salute, tenendo conto anche delle possibili interazioni con medicinali e altri prodotti assunti dal paziente.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Abilità comunicative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 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capaci di fornire consulenza in campo sanitario rivestendo un ruolo di educatore sanitario e di collaborare con medici, pazienti e strutture sanitarie, fornendo indicazioni utili in particolar modo sull'uso corretto dei medicinali.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sono capaci di comunicare, in forma scritta e orale, in inglese, oltre che in italiano.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Capacità di apprendimento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nozioni utili per l'aggiornamento continuo delle proprie conoscenze;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strumenti informatici per la consultazione di banche dati e della letteratura specializzata;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nozioni utili per affrontare scuole di dottorato, master e scuole di specializzazione.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ArialM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link w:val="Titolo2Carattere"/>
    <w:uiPriority w:val="9"/>
    <w:qFormat w:val="1"/>
    <w:rsid w:val="00C23E4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601CE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C23E4C"/>
    <w:rPr>
      <w:rFonts w:ascii="Times New Roman" w:cs="Times New Roman" w:eastAsia="Times New Roman" w:hAnsi="Times New Roman"/>
      <w:b w:val="1"/>
      <w:bCs w:val="1"/>
      <w:sz w:val="36"/>
      <w:szCs w:val="36"/>
      <w:lang w:eastAsia="it-IT"/>
    </w:rPr>
  </w:style>
  <w:style w:type="character" w:styleId="a-size-base-plus" w:customStyle="1">
    <w:name w:val="a-size-base-plus"/>
    <w:basedOn w:val="Carpredefinitoparagrafo"/>
    <w:rsid w:val="00C23E4C"/>
  </w:style>
  <w:style w:type="character" w:styleId="a-size-base" w:customStyle="1">
    <w:name w:val="a-size-base"/>
    <w:basedOn w:val="Carpredefinitoparagrafo"/>
    <w:rsid w:val="00C23E4C"/>
  </w:style>
  <w:style w:type="paragraph" w:styleId="Paragrafoelenco">
    <w:name w:val="List Paragraph"/>
    <w:basedOn w:val="Normale"/>
    <w:uiPriority w:val="34"/>
    <w:qFormat w:val="1"/>
    <w:rsid w:val="000E56E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ofC4uow37zMeoghbIOEhXdE/Ag==">CgMxLjAyCGguZ2pkZ3hzOAByITFOa2V2SWlia0ZsTlFpdVNtQ1FKemVTQnJtOUdvTEhIbQ==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2024-03-20T15:53:00Z</dcterms:created>
  <dc:creator>Federica PELLATI</dc:creator>
</cp:coreProperties>
</file>