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282828"/>
        </w:rPr>
      </w:pPr>
      <w:r w:rsidDel="00000000" w:rsidR="00000000" w:rsidRPr="00000000">
        <w:rPr>
          <w:rFonts w:ascii="Calibri" w:cs="Calibri" w:eastAsia="Calibri" w:hAnsi="Calibri"/>
          <w:color w:val="282828"/>
          <w:rtl w:val="0"/>
        </w:rPr>
        <w:t xml:space="preserve">FARMACIA (D.M. 1147/22)</w:t>
      </w:r>
    </w:p>
    <w:p w:rsidR="00000000" w:rsidDel="00000000" w:rsidP="00000000" w:rsidRDefault="00000000" w:rsidRPr="00000000" w14:paraId="00000002">
      <w:pPr>
        <w:spacing w:after="24" w:before="24" w:lineRule="auto"/>
        <w:jc w:val="center"/>
        <w:rPr/>
      </w:pPr>
      <w:r w:rsidDel="00000000" w:rsidR="00000000" w:rsidRPr="00000000">
        <w:rPr>
          <w:rtl w:val="0"/>
        </w:rPr>
        <w:t xml:space="preserve">FARMACI BIOLOGICI, CHEMIOTERAPIA E TERAPIE AVANZATE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jc w:val="both"/>
        <w:rPr>
          <w:b w:val="1"/>
          <w:color w:val="222222"/>
          <w:sz w:val="44"/>
          <w:szCs w:val="44"/>
        </w:rPr>
      </w:pPr>
      <w:r w:rsidDel="00000000" w:rsidR="00000000" w:rsidRPr="00000000">
        <w:rPr>
          <w:rtl w:val="0"/>
        </w:rPr>
        <w:t xml:space="preserve">Il Corso è formato da due moduli Farmaci biologici e chemioterapia (6 CFU) e Basi delle terapie avanzate (4 CFU), entrambi erogati nel II semestre.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Formativi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Al termine dell'insegnamento lo/a studente/ssa avrà acquisito la conoscenza dei principali aspetti molecolari e farmacologici delle terapie avanzate e dei chemioterapici. In particolare, sarà in grado di descrivere e approfondire le principali tecniche dell’ingegneria genetica per la terapia genica e le terapie cellulari, le principali metodiche per la produzione di proteine terapeutiche e vaccini avanzati, i principi e le applicazioni della medicina di precisione e delle terapie personalizzate, la classificazione e utilizzo dei biomarcatori, e l’uso terapeutico e il meccanismo d’azione dei farmaci antitumorali, antivirali e antibatterici.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color w:val="282828"/>
          <w:rtl w:val="0"/>
        </w:rPr>
        <w:t xml:space="preserve">Per una più completa comprensione degli obiettivi formativi si rimanda alla lettura dei risultati di apprendimento attesi.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Prerequisiti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Conoscenza dei meccanismi di base dell’azione dei farmaci e della loro tossicità. Conoscenza dei meccanismi biologici, fisiologici e patologici coinvolti nel mantenimento o ripristino della salute.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Contenuti dell’Insegnamento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La scansione dei contenuti per CFU è da intendersi come puramente indicativa. Essa può, infatti, subire modifiche nel corso dell’insegnamento.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Basi delle terapie avanzate ore 32, 4 CFU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Concetti di struttura del genoma, modificazioni epigenetiche, mutazioni e polimorfismi, CNV (ore 4, crediti 0,5)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Tecniche del DNA ricombinante per la produzione di Farmaci (ore 4, crediti 0,5)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Produzione di proteine ricombinanti (ore 2, crediti 0,25)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Produzione di vaccini ricombinanti (ore 4, crediti 0,5)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Utilizzi dell’mRNA a scopo terapeutico (ore 2, crediti 0,25)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Produzione di anticorpi monoclonali umanizzati per immunoterapia (ore 4, crediti 0,5)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CAR-t-, principi generali e produzione (ore 4, crediti 0,5)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Terapia cellulare: iPS, cellule staminali adulti (ore 4, crediti 0,5)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Vettori virali per terapia genica. (ore 2, crediti 0,25)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Sistemi di editing CRISPR-Cas9 (ore 2, crediti 0,25)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Farmaci biologici e chemioterapia ore 48, 6 CFU</w:t>
      </w:r>
    </w:p>
    <w:p w:rsidR="00000000" w:rsidDel="00000000" w:rsidP="00000000" w:rsidRDefault="00000000" w:rsidRPr="00000000" w14:paraId="0000001E">
      <w:pPr>
        <w:rPr>
          <w:color w:val="500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Introduzione al corso (ore 2, crediti 0,25)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Farmaci e terapie (ore 2, crediti 0,25)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medicina di precisione e le terapie personalizzate (ore 2, crediti 0,25)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Principali proteine ad uso terapeutico, esempi applicativi e problematiche regolatorie e terapeutiche (ore 4, crediti 0,5)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 clinici nell’ambito delle terapie avanzate (ore 2, crediti 0,25)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Classificazione e utilizzo sperimentale e clinico dei biomarcatori (ore 2, crediti 0,25)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Farmaci orfani e malattie rare (ore 2, crediti 0,25)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Anticorpi monoclonali sviluppo farmacologico ed esempi di applicazioni cliniche (ore 2, crediti 0,25)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Immunoterapie attive e passive (ore 2, crediti 0,25)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Farmaci e terapie antivirali (ore 6, CFU 0,75)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Farmaci e terapie antibatteriche (ore 4, crediti 0,5)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Farmaci antitumorali classificazione, razionale farmacologico e meccanismi di resistenza (ore 4, crediti 0,5)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Farmacogenetica e genomica in oncologia (ore 2, crediti 0,25)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Farmaci inibitori del signaling (ore 4, crediti 0,5)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Terapie oncologiche avanzate (ore 2, crediti 0,25)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Applicazioni cliniche delle terapie avanzate (ore 2, crediti 0,25)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Farmacologia e real world data (ore 2, crediti 0,25)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Terapie digitali (ore 2, crediti 0,25)</w:t>
      </w:r>
    </w:p>
    <w:p w:rsidR="00000000" w:rsidDel="00000000" w:rsidP="00000000" w:rsidRDefault="00000000" w:rsidRPr="00000000" w14:paraId="0000003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Metodi Didattici</w:t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L’insegnamento di farmaci biologici, chemioterapia e terapie avanzate è articolato in lezioni frontali in presenza (10 CFU, 80 ore – due moduli da 6 CFU e 4 CFU) attraverso cui i docenti illustreranno gli aspetti generali degli argomenti in programma, individuerà ed approfondirà alcuni punti specifici fornendo spunti e materiale aggiuntivo attraverso cui lo/la studente/essa dovrà completare la propria formazione. Le lezioni verranno svolte con l’ausilio di mezzi audiovisivi (presentazioni in PowerPoint e filmati). </w:t>
      </w:r>
    </w:p>
    <w:p w:rsidR="00000000" w:rsidDel="00000000" w:rsidP="00000000" w:rsidRDefault="00000000" w:rsidRPr="00000000" w14:paraId="00000035">
      <w:pPr>
        <w:jc w:val="both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rtl w:val="0"/>
        </w:rPr>
        <w:t xml:space="preserve">La frequenza alle lezioni è fortemente raccomandata al fine della proficua formazione dello studente.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Il docente verifica la frequenza con modalità che verrà comunicata all’inizio delle lezioni.</w:t>
      </w:r>
    </w:p>
    <w:p w:rsidR="00000000" w:rsidDel="00000000" w:rsidP="00000000" w:rsidRDefault="00000000" w:rsidRPr="00000000" w14:paraId="00000036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L’insegnamento è erogato in lingua italiana.</w:t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Verifica Dell’apprendimento</w:t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verifica dell’apprendimento sarà effettuata mediante un esame scritto in forma informatizzata gestito sulla piattaforma Moodle o altra piattaforma disponibile. La prova di verifica è costituita da un test con 32 domande a scelta multipla, formato 4 risposte per ogni domanda di cui solamente una corretta, e due domande a risposta aperta (una per modulo). Per le domande a scelta multipla ad ogni risposta corretta verrà assegnato 1 punto, ad ogni risposta sbagliata verrà sottratto - 0,25 punti. Per le due domande a risposta aperta verranno assegnati da zero a cinque punti. Ad ogni risposta non data sarà assegnato il punteggio di 0 (zero). Nell'assegnazione del voto finale il docente prenderà in considerazione la partecipazione attiva alle lezioni e alle discussioni su argomenti di approfondimento. Per essere considerato superato, l'esame richiede il raggiungimento di un punteggio minimo di 18/30, che corrisponde a una preparazione ritenuta moderatamente sufficiente.</w:t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Al fine di ottenere il punteggio massimo di 30/30 con lode, lo studente dovrà raggiungere un punteggio di almeno 40, dimostrando così di possedere una conoscenza approfondita e completa di tutti gli argomenti trattati nel corso.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Testi Di Riferimento</w:t>
      </w:r>
    </w:p>
    <w:p w:rsidR="00000000" w:rsidDel="00000000" w:rsidP="00000000" w:rsidRDefault="00000000" w:rsidRPr="00000000" w14:paraId="000000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Appunti delle lezioni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Testi di consultazione: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 Stoppini e V. Bellotti: BIOCHIMICA APPLICATA, Edises, 2012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Vegeto, Maggi et al., Farmaci Biotecnologici, CEA, Zanichelli Eds.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JJ.D. Watson et al: “DNA Ricombinante”; Zanichelli Eds.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Giacca; “Terapia Genica”; Springer Biomed Eds, 2011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• Clementi, Fumagalli. Farmacologia generale e molecolare. Ed. UTET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• Goodman &amp; Gilman. Le basi farmacologiche della terapia. Ed. Zanichelli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• Rossi, Cuomo &amp; Riccardi. Farmacologia. Principi di base e applicazioni terapeutiche. Ed. Minerva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medica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• Collino, Cicala &amp; Ialenti. Farmacologia generale. Ed. UTET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• Govoni et al. Farmacologia. Ed. Zanichelli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  <w:t xml:space="preserve">Il materiale proiettato a lezione è reso disposizione degli studenti sulla piattaforma Microsoft Teams o altra piattaforma messa a disposizione dall’Ateneo</w:t>
      </w:r>
    </w:p>
    <w:p w:rsidR="00000000" w:rsidDel="00000000" w:rsidP="00000000" w:rsidRDefault="00000000" w:rsidRPr="00000000" w14:paraId="0000004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Risultati Di Apprendimento Attesi</w:t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Conoscenza e capacità di comprensione: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Degli aspetti molecolari, tecnologici, farmacologici e terapeutici delle terapie avanzate.</w:t>
      </w:r>
    </w:p>
    <w:p w:rsidR="00000000" w:rsidDel="00000000" w:rsidP="00000000" w:rsidRDefault="00000000" w:rsidRPr="00000000" w14:paraId="00000051">
      <w:pPr>
        <w:jc w:val="both"/>
        <w:rPr>
          <w:i w:val="1"/>
          <w:u w:val="single"/>
        </w:rPr>
      </w:pP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>
          <w:i w:val="1"/>
          <w:u w:val="single"/>
          <w:rtl w:val="0"/>
        </w:rPr>
        <w:t xml:space="preserve">Conoscenza e capacità di comprensione applicate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Per informare e formare all’utilizzo delle nuove terapie.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rtl w:val="0"/>
        </w:rPr>
        <w:t xml:space="preserve">C. </w:t>
      </w:r>
      <w:r w:rsidDel="00000000" w:rsidR="00000000" w:rsidRPr="00000000">
        <w:rPr>
          <w:i w:val="1"/>
          <w:u w:val="single"/>
          <w:rtl w:val="0"/>
        </w:rPr>
        <w:t xml:space="preserve">Autonomia di giudizio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Acquisire lo spirito critico e l’autonomia necessaria per sostenere una discussione critica, con appropriatezza</w:t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linguaggio, sugli argomenti trattati nel corso, sviluppando inoltre la capacità di trasferire l'informazione in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maniera comprensibile anche ad interlocutori non specialisti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D. </w:t>
      </w:r>
      <w:r w:rsidDel="00000000" w:rsidR="00000000" w:rsidRPr="00000000">
        <w:rPr>
          <w:i w:val="1"/>
          <w:u w:val="single"/>
          <w:rtl w:val="0"/>
        </w:rPr>
        <w:t xml:space="preserve">Abilità comunicative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Essere capaci di fornire consulenza in campo sanitario rivestendo un ruolo di educatore sanitario e di collaborare con medici, pazienti e strutture sanitarie fornendo indicazioni utili in particolar modo sull'uso corretto dei medicinali.</w:t>
      </w:r>
    </w:p>
    <w:p w:rsidR="00000000" w:rsidDel="00000000" w:rsidP="00000000" w:rsidRDefault="00000000" w:rsidRPr="00000000" w14:paraId="0000005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Sono capaci di comunicare, in forma scritta e orale, in inglese, oltre che in italiano.</w:t>
      </w:r>
    </w:p>
    <w:p w:rsidR="00000000" w:rsidDel="00000000" w:rsidP="00000000" w:rsidRDefault="00000000" w:rsidRPr="00000000" w14:paraId="0000005A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E. </w:t>
      </w:r>
      <w:r w:rsidDel="00000000" w:rsidR="00000000" w:rsidRPr="00000000">
        <w:rPr>
          <w:i w:val="1"/>
          <w:u w:val="single"/>
          <w:rtl w:val="0"/>
        </w:rPr>
        <w:t xml:space="preserve">Capacità di apprendimento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per l'aggiornamento continuo delle proprie conoscenze.</w:t>
      </w:r>
    </w:p>
    <w:p w:rsidR="00000000" w:rsidDel="00000000" w:rsidP="00000000" w:rsidRDefault="00000000" w:rsidRPr="00000000" w14:paraId="0000005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per utilizzare strumenti informatici per la consultazione di banche dati e della letteratura specializzata.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sz w:val="22"/>
          <w:szCs w:val="22"/>
          <w:rtl w:val="0"/>
        </w:rPr>
        <w:t xml:space="preserve">- per affrontare scuole di dottorato, master e scuole di specializzazione.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i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92D5E"/>
    <w:rPr>
      <w:rFonts w:ascii="Times New Roman" w:cs="Times New Roman" w:eastAsia="Times New Roman" w:hAnsi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 w:val="1"/>
    <w:rsid w:val="009F625B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F306DD"/>
    <w:pPr>
      <w:ind w:left="720"/>
      <w:contextualSpacing w:val="1"/>
    </w:pPr>
  </w:style>
  <w:style w:type="character" w:styleId="Titolo2Carattere" w:customStyle="1">
    <w:name w:val="Titolo 2 Carattere"/>
    <w:basedOn w:val="Carpredefinitoparagrafo"/>
    <w:link w:val="Titolo2"/>
    <w:uiPriority w:val="9"/>
    <w:rsid w:val="009F625B"/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AA6E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AA6E0C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AA6E0C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AA6E0C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AA6E0C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paragraph" w:styleId="Revisione">
    <w:name w:val="Revision"/>
    <w:hidden w:val="1"/>
    <w:uiPriority w:val="99"/>
    <w:semiHidden w:val="1"/>
    <w:rsid w:val="00D8481D"/>
    <w:rPr>
      <w:rFonts w:ascii="Times New Roman" w:cs="Times New Roman" w:eastAsia="Times New Roman" w:hAnsi="Times New Roman"/>
      <w:lang w:eastAsia="it-IT"/>
    </w:rPr>
  </w:style>
  <w:style w:type="paragraph" w:styleId="NormaleWeb">
    <w:name w:val="Normal (Web)"/>
    <w:basedOn w:val="Normale"/>
    <w:uiPriority w:val="99"/>
    <w:semiHidden w:val="1"/>
    <w:unhideWhenUsed w:val="1"/>
    <w:rsid w:val="0072334A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bEpqUAUcO0DZDQdbXotBXSB6A==">CgMxLjA4AHIhMWVIR0pBLWMtakZXbWtsQXJ5YUtZSUtlYmdPR0MxWEtr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2024-05-05T09:45:00Z</dcterms:created>
  <dc:creator>ELENA ENZO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cd614dd312787b0ecfa335c3dd7ef95e706b5945ecefe972b0197f45b1b95c9c</vt:lpwstr>
  </property>
</Properties>
</file>