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color w:val="282828"/>
          <w:sz w:val="24"/>
          <w:szCs w:val="24"/>
        </w:rPr>
      </w:pPr>
      <w:r w:rsidDel="00000000" w:rsidR="00000000" w:rsidRPr="00000000">
        <w:rPr>
          <w:color w:val="282828"/>
          <w:sz w:val="24"/>
          <w:szCs w:val="24"/>
          <w:rtl w:val="0"/>
        </w:rPr>
        <w:t xml:space="preserve">FARMACIA (D.M. 1147/22)</w:t>
      </w:r>
    </w:p>
    <w:p w:rsidR="00000000" w:rsidDel="00000000" w:rsidP="00000000" w:rsidRDefault="00000000" w:rsidRPr="00000000" w14:paraId="00000002">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Farmacognosia e fitoterapia (8 CFU; 64 ore)</w:t>
      </w:r>
      <w:r w:rsidDel="00000000" w:rsidR="00000000" w:rsidRPr="00000000">
        <w:rPr>
          <w:rtl w:val="0"/>
        </w:rPr>
      </w:r>
    </w:p>
    <w:p w:rsidR="00000000" w:rsidDel="00000000" w:rsidP="00000000" w:rsidRDefault="00000000" w:rsidRPr="00000000" w14:paraId="0000000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OBIETTIVI FORMATIVI</w:t>
      </w:r>
      <w:r w:rsidDel="00000000" w:rsidR="00000000" w:rsidRPr="00000000">
        <w:rPr>
          <w:rtl w:val="0"/>
        </w:rPr>
      </w:r>
    </w:p>
    <w:p w:rsidR="00000000" w:rsidDel="00000000" w:rsidP="00000000" w:rsidRDefault="00000000" w:rsidRPr="00000000" w14:paraId="0000000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termine dell'insegnamento lo/la studente/ssa avrà acquisito le conoscenze relative alle piante medicinali, ai loro principi farmacologicamente attivi e ai prodotti fitoterapici, tali da consentire al laureato di svolgere il ruolo di educatore sanitario fornendo utili indicazioni sull’uso corretto dei prodotti fitoterapici e di dispensare correttamente prodotti per la salute e medicinali di automedicazione.</w:t>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una più completa comprensione degli obiettivi formativi, si rimanda alla lettura dei risultati di apprendimento attesi a seguito del presente percorso formativo.</w:t>
      </w:r>
    </w:p>
    <w:p w:rsidR="00000000" w:rsidDel="00000000" w:rsidP="00000000" w:rsidRDefault="00000000" w:rsidRPr="00000000" w14:paraId="0000000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PREREQUISITI</w:t>
      </w: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Conoscenze di base di Botanica farmaceutica (riconoscimento e descrizione della pianta officinale, caratteri morfologici ed anatomici distintivi con indicazione della droga e del contenuto in principi attivi). </w:t>
      </w:r>
    </w:p>
    <w:p w:rsidR="00000000" w:rsidDel="00000000" w:rsidP="00000000" w:rsidRDefault="00000000" w:rsidRPr="00000000" w14:paraId="0000000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CONTENUTI DEL CORSO</w:t>
      </w:r>
      <w:r w:rsidDel="00000000" w:rsidR="00000000" w:rsidRPr="00000000">
        <w:rPr>
          <w:rtl w:val="0"/>
        </w:rPr>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scansione dei contenuti è da intendere come puramente indicativa. Essa può infatti subire modifiche nel corso dell’insegnamento, anche in funzione delle richieste degli studenti.</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PARTE GENERALE (2,5 CFU; 20 ore):</w:t>
      </w:r>
      <w:r w:rsidDel="00000000" w:rsidR="00000000" w:rsidRPr="00000000">
        <w:rPr>
          <w:rtl w:val="0"/>
        </w:rPr>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Raccolta delle piante medicinali e tecniche di conservazione delle droghe vegetali (1 ora). </w:t>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Costituenti primari e secondari delle piante medicinali (carboidrati, alcaloidi, glicosidi, flavonoidi,     terpeni, tannini). Olii essenziali, balsami e resine (7 ore). </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Fattori naturali e artificiali  che influenzano la composizione e l'attività delle droghe (1 ora).</w:t>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Analisi delle droghe: saggi di identificazione e controllo di qualità (3 ore).</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Preparazioni farmaceutiche fitoterapiche. Norme legislative sull'uso delle piante officinali (3 ore).</w:t>
      </w:r>
    </w:p>
    <w:p w:rsidR="00000000" w:rsidDel="00000000" w:rsidP="00000000" w:rsidRDefault="00000000" w:rsidRPr="00000000" w14:paraId="0000001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Effetti collaterali delle piante medicinali, controindicazioni,  interazioni con altre piante o con farmaci (5 ore).</w:t>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PARTE SISTEMATICA (5,5 CFU; 44 ore):</w:t>
      </w:r>
      <w:r w:rsidDel="00000000" w:rsidR="00000000" w:rsidRPr="00000000">
        <w:rPr>
          <w:rtl w:val="0"/>
        </w:rPr>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Droghe relative all'apparato gastroenterico: stomatici, eupeptici, carminativi, antispastici, emetici, antiemetici, epatobiliari, lassativi, purganti (10 ore).</w:t>
      </w:r>
    </w:p>
    <w:p w:rsidR="00000000" w:rsidDel="00000000" w:rsidP="00000000" w:rsidRDefault="00000000" w:rsidRPr="00000000" w14:paraId="0000001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Droghe relative all'apparato respiratorio: bechici, espettoranti (3 ore). </w:t>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Droghe relative all'apparato cardiovascolare: cardiotonici, vasoprotettori (3 ore).</w:t>
      </w:r>
    </w:p>
    <w:p w:rsidR="00000000" w:rsidDel="00000000" w:rsidP="00000000" w:rsidRDefault="00000000" w:rsidRPr="00000000" w14:paraId="0000001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Droghe relative all'apparato escretore: diuretici, antisettici delle vie urinarie (2 ore).</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Droghe relative al sistema nervoso: neurostimolanti, neurodepressori, antidepressivi (6 ore).  </w:t>
      </w:r>
    </w:p>
    <w:p w:rsidR="00000000" w:rsidDel="00000000" w:rsidP="00000000" w:rsidRDefault="00000000" w:rsidRPr="00000000" w14:paraId="0000001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Droghe ad attività adattogena (2 ore). </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Droghe ad attività antiinfiammatoria-antireumatica (3 ore).</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Droghe ad attività immunostimolante (3 ore). </w:t>
      </w:r>
    </w:p>
    <w:p w:rsidR="00000000" w:rsidDel="00000000" w:rsidP="00000000" w:rsidRDefault="00000000" w:rsidRPr="00000000" w14:paraId="0000001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Droghe di interesse dermatologico (2 ore).</w:t>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Droghe ad attività antiprostatica (2 ore).</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Principi antitumorali di origine vegetale (2 ore).</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Oppio; Coca; Canapa; Tabacco (6 ore).</w:t>
      </w:r>
    </w:p>
    <w:p w:rsidR="00000000" w:rsidDel="00000000" w:rsidP="00000000" w:rsidRDefault="00000000" w:rsidRPr="00000000" w14:paraId="0000002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METODI DIDATTICI</w:t>
      </w:r>
      <w:r w:rsidDel="00000000" w:rsidR="00000000" w:rsidRPr="00000000">
        <w:rPr>
          <w:rtl w:val="0"/>
        </w:rPr>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La metodologia didattica utilizzata consiste in lezioni frontali in presenza, con l'ausilio di mezzi audiovisivi (presentazioni in Power Point). </w:t>
      </w:r>
      <w:r w:rsidDel="00000000" w:rsidR="00000000" w:rsidRPr="00000000">
        <w:rPr>
          <w:rtl w:val="0"/>
        </w:rPr>
      </w:r>
    </w:p>
    <w:p w:rsidR="00000000" w:rsidDel="00000000" w:rsidP="00000000" w:rsidRDefault="00000000" w:rsidRPr="00000000" w14:paraId="00000025">
      <w:pPr>
        <w:spacing w:after="0" w:line="36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La frequenza alle lezioni è fortemente raccomandata al fine della proficua formazione dello studente. </w:t>
      </w:r>
      <w:r w:rsidDel="00000000" w:rsidR="00000000" w:rsidRPr="00000000">
        <w:rPr>
          <w:rtl w:val="0"/>
        </w:rPr>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L'insegnamento è erogato in lingua italiana.</w:t>
      </w:r>
    </w:p>
    <w:p w:rsidR="00000000" w:rsidDel="00000000" w:rsidP="00000000" w:rsidRDefault="00000000" w:rsidRPr="00000000" w14:paraId="0000002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VERIFICA DELL’APPRENDIMENTO</w:t>
      </w:r>
      <w:r w:rsidDel="00000000" w:rsidR="00000000" w:rsidRPr="00000000">
        <w:rPr>
          <w:rtl w:val="0"/>
        </w:rPr>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verifica dell’apprendimento prevede una prova orale che si svolgerà al termine dell’erogazione dell’insegnamento. Lo/la studente/ssa potrà iscriversi ad uno degli appelli d’esame tramite la piattaforma ESSE3. Sono previsti normalmente otto appelli nell’anno solare (tre nei mesi di gennaio e febbraio, tre nei mesi di giugno e luglio e due nel mese di settembre). La prova orale consiste in un colloquio della durata di 40-60 minuti e prevede una discussione a partire da alcuni quesiti posti allo studente (riguardanti sia la parte generale che la parte sistematica, tenendo conto del diverso peso dei CFU assegnati ai due segmenti), allo scopo di accertare i risultati di apprendimento attesi.</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Gli indicatori di valutazione della prova orale sono la capacità di utilizzare e collegare le conoscenze e la padronanza del linguaggio scientifico.</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valutazione è espressa in trentesimi. Per superare l’esame deve essere conseguito un punteggio non inferiore a 18/30 (vale a dire una preparazione ragionevolmente sufficiente sia dal punto di vista dei contenuti che dal punto di vista del linguaggio espositivo utilizzato). Per conseguire un punteggio pari a 30/30 e lode, lo/la studente/ssa deve dimostrare di aver acquisito una conoscenza eccellente di tutti gli argomenti trattati e di raccordarli in modo logico e coerente.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 gli studenti che frequentano il III anno, è prevista la possibilità di svolgimento di una prova scritta parziale, durante un’apposita sospensione dell’attività didattica. Nella prova scritta, della durata di un'ora, lo/la studente/ssa deve rispondere a tre domande aperte relative alla parte generale del programma. La prova scritta viene corretta nell’arco di una settimana, in funzione del numero degli iscritti, e il risultato, espresso in trentesimi, di cui si tiene conto nell’attribuzione del voto finale, viene comunicato allo/a studente/essa attraverso la mail istituzionale. La successiva prova orale, della durata di circa 30-40 minuti, deve essere sostenuta entro il mese di dicembre dell’anno seguente. Durante tale prova, la cui valutazione è espressa in trentesimi, viene svolta una discussione sugli argomenti non richiesti nella prova scritta, ossia la parte sistematica del programma.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valutazione finale viene espressa in trentesimi e tiene conto del diverso peso dei CFU assegnati ai due segmenti.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Il 30% del punteggio dipenderà dalla valutazione ottenuta nella prova scritta sulla parte generale mentre il 70% del punteggio dipenderà dalla valutazione ottenuta nella successiva prova orale sulla parte sistematica. </w:t>
      </w:r>
      <w:r w:rsidDel="00000000" w:rsidR="00000000" w:rsidRPr="00000000">
        <w:rPr>
          <w:rtl w:val="0"/>
        </w:rPr>
      </w:r>
    </w:p>
    <w:p w:rsidR="00000000" w:rsidDel="00000000" w:rsidP="00000000" w:rsidRDefault="00000000" w:rsidRPr="00000000" w14:paraId="0000002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TESTI DI RIFERIMENTO</w:t>
      </w:r>
      <w:r w:rsidDel="00000000" w:rsidR="00000000" w:rsidRPr="00000000">
        <w:rPr>
          <w:rtl w:val="0"/>
        </w:rPr>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Dispense fornite dal docente.</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 CAPASSO, R. DE PASQUALE, G. GRANDOLINI, N. MASCOLO, “Farmacognosia. Farmaci naturali loro preparazioni ed impiego terapeutico”, Springer Verlag Italia, Milano.</w:t>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BRUNI, “Farmacognosia generale e applicata. I farmaci naturali”, Piccin Nuova Libraria, Padova.</w:t>
      </w:r>
    </w:p>
    <w:p w:rsidR="00000000" w:rsidDel="00000000" w:rsidP="00000000" w:rsidRDefault="00000000" w:rsidRPr="00000000" w14:paraId="0000003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 CAPASSO, G. GRANDOLINI, A.A. IZZO, “Fitoterapia. Impiego razionale delle droghe vegetali”, Springer Verlag Italia, Milano.</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 MAZZANTI, M. DELL'AGLI, A.A. IZZO, "Farmacognosia e Fitoterapia - Basi farmacologiche e aspetti applicativi", Piccin Nuova Libraria, Padova.</w:t>
      </w:r>
    </w:p>
    <w:p w:rsidR="00000000" w:rsidDel="00000000" w:rsidP="00000000" w:rsidRDefault="00000000" w:rsidRPr="00000000" w14:paraId="0000003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RISULTATI DI APPRENDIMENTO ATTESI</w:t>
      </w:r>
      <w:r w:rsidDel="00000000" w:rsidR="00000000" w:rsidRPr="00000000">
        <w:rPr>
          <w:rtl w:val="0"/>
        </w:rPr>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Conoscenza e capacità di comprensione:</w:t>
      </w:r>
      <w:r w:rsidDel="00000000" w:rsidR="00000000" w:rsidRPr="00000000">
        <w:rPr>
          <w:rtl w:val="0"/>
        </w:rPr>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delle piante medicinali, delle droghe vegetali e dei fitocomplessi con particolare riguardo agli aspetti terapeutici.</w:t>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Capacità di applicare conoscenza e comprensione:</w:t>
      </w:r>
      <w:r w:rsidDel="00000000" w:rsidR="00000000" w:rsidRPr="00000000">
        <w:rPr>
          <w:rtl w:val="0"/>
        </w:rPr>
      </w:r>
    </w:p>
    <w:p w:rsidR="00000000" w:rsidDel="00000000" w:rsidP="00000000" w:rsidRDefault="00000000" w:rsidRPr="00000000" w14:paraId="0000003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delle piante medicinali, delle droghe vegetali e dei fitocomplessi con particolare riguardo agli aspetti farmacoterapeutici.</w:t>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3. Autonomia di giudizio:</w:t>
      </w:r>
      <w:r w:rsidDel="00000000" w:rsidR="00000000" w:rsidRPr="00000000">
        <w:rPr>
          <w:rtl w:val="0"/>
        </w:rPr>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dispensare correttamente i medicinali, tenendo conto della prescrizione del medico delle specifiche esigenze del paziente;</w:t>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consigliare correttamente i medicinali di automedicazione e i prodotti per la salute (fitoterapici) tenendo conto anche delle possibili interazioni con medicinali e altri prodotti assunti dal paziente.</w:t>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Abilità comunicative:</w:t>
      </w:r>
      <w:r w:rsidDel="00000000" w:rsidR="00000000" w:rsidRPr="00000000">
        <w:rPr>
          <w:rtl w:val="0"/>
        </w:rPr>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sono capaci di fornire consulenza in campo sanitario rivestendo un ruolo di educatore sanitario e di collaborare con medici, pazienti e strutture sanitarie fornendo indicazioni utili in particolar modo sull'uso corretto dei prodotti fitoterapici.</w:t>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sono capaci di comunicare, in forma scritta e orale, in inglese, oltre che in italiano.</w:t>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Capacità di apprendimento:</w:t>
      </w:r>
      <w:r w:rsidDel="00000000" w:rsidR="00000000" w:rsidRPr="00000000">
        <w:rPr>
          <w:rtl w:val="0"/>
        </w:rPr>
      </w:r>
    </w:p>
    <w:p w:rsidR="00000000" w:rsidDel="00000000" w:rsidP="00000000" w:rsidRDefault="00000000" w:rsidRPr="00000000" w14:paraId="00000042">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Nozioni utili per l'aggiornamento continuo delle proprie conoscenze.</w:t>
      </w:r>
    </w:p>
    <w:p w:rsidR="00000000" w:rsidDel="00000000" w:rsidP="00000000" w:rsidRDefault="00000000" w:rsidRPr="00000000" w14:paraId="00000043">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Strumenti informatici per la consultazione di banche dati e della letteratura specializzata.</w:t>
      </w:r>
    </w:p>
    <w:p w:rsidR="00000000" w:rsidDel="00000000" w:rsidP="00000000" w:rsidRDefault="00000000" w:rsidRPr="00000000" w14:paraId="00000044">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Nozioni utili per affrontare scuole di dottorato, master e scuole di specializzazione.</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semiHidden w:val="1"/>
    <w:unhideWhenUsed w:val="1"/>
    <w:rsid w:val="00F3276E"/>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Rimandocommento">
    <w:name w:val="annotation reference"/>
    <w:basedOn w:val="Carpredefinitoparagrafo"/>
    <w:uiPriority w:val="99"/>
    <w:semiHidden w:val="1"/>
    <w:unhideWhenUsed w:val="1"/>
    <w:rsid w:val="000E472E"/>
    <w:rPr>
      <w:sz w:val="16"/>
      <w:szCs w:val="16"/>
    </w:rPr>
  </w:style>
  <w:style w:type="paragraph" w:styleId="Testocommento">
    <w:name w:val="annotation text"/>
    <w:basedOn w:val="Normale"/>
    <w:link w:val="TestocommentoCarattere"/>
    <w:uiPriority w:val="99"/>
    <w:semiHidden w:val="1"/>
    <w:unhideWhenUsed w:val="1"/>
    <w:rsid w:val="000E472E"/>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0E472E"/>
    <w:rPr>
      <w:sz w:val="20"/>
      <w:szCs w:val="20"/>
    </w:rPr>
  </w:style>
  <w:style w:type="paragraph" w:styleId="Soggettocommento">
    <w:name w:val="annotation subject"/>
    <w:basedOn w:val="Testocommento"/>
    <w:next w:val="Testocommento"/>
    <w:link w:val="SoggettocommentoCarattere"/>
    <w:uiPriority w:val="99"/>
    <w:semiHidden w:val="1"/>
    <w:unhideWhenUsed w:val="1"/>
    <w:rsid w:val="000E472E"/>
    <w:rPr>
      <w:b w:val="1"/>
      <w:bCs w:val="1"/>
    </w:rPr>
  </w:style>
  <w:style w:type="character" w:styleId="SoggettocommentoCarattere" w:customStyle="1">
    <w:name w:val="Soggetto commento Carattere"/>
    <w:basedOn w:val="TestocommentoCarattere"/>
    <w:link w:val="Soggettocommento"/>
    <w:uiPriority w:val="99"/>
    <w:semiHidden w:val="1"/>
    <w:rsid w:val="000E472E"/>
    <w:rPr>
      <w:b w:val="1"/>
      <w:bCs w:val="1"/>
      <w:sz w:val="20"/>
      <w:szCs w:val="20"/>
    </w:rPr>
  </w:style>
  <w:style w:type="paragraph" w:styleId="Testofumetto">
    <w:name w:val="Balloon Text"/>
    <w:basedOn w:val="Normale"/>
    <w:link w:val="TestofumettoCarattere"/>
    <w:uiPriority w:val="99"/>
    <w:semiHidden w:val="1"/>
    <w:unhideWhenUsed w:val="1"/>
    <w:rsid w:val="000E472E"/>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0E472E"/>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AVdmqKWW+g1LiAPiYEU6717HIA==">CgMxLjAyCGguZ2pkZ3hzOAByITEzOGg4dmZwUXVncXViU0xWSUJpYkZWNFR6TV9hNV9RVg==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2024-03-15T08:56:00Z</dcterms:created>
  <dc:creator>Francesca</dc:creator>
</cp:coreProperties>
</file>