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color w:val="282828"/>
        </w:rPr>
      </w:pPr>
      <w:r w:rsidDel="00000000" w:rsidR="00000000" w:rsidRPr="00000000">
        <w:rPr>
          <w:color w:val="282828"/>
          <w:rtl w:val="0"/>
        </w:rPr>
        <w:t xml:space="preserve">FARMACIA (D.M. 1147/22)</w:t>
      </w:r>
    </w:p>
    <w:p w:rsidR="00000000" w:rsidDel="00000000" w:rsidP="00000000" w:rsidRDefault="00000000" w:rsidRPr="00000000" w14:paraId="00000002">
      <w:pPr>
        <w:jc w:val="center"/>
        <w:rPr>
          <w:b w:val="1"/>
          <w:color w:val="282828"/>
        </w:rPr>
      </w:pPr>
      <w:r w:rsidDel="00000000" w:rsidR="00000000" w:rsidRPr="00000000">
        <w:rPr>
          <w:b w:val="1"/>
          <w:color w:val="282828"/>
          <w:rtl w:val="0"/>
        </w:rPr>
        <w:t xml:space="preserve">Gestione aziendale e gestione della farmacia </w:t>
      </w:r>
    </w:p>
    <w:p w:rsidR="00000000" w:rsidDel="00000000" w:rsidP="00000000" w:rsidRDefault="00000000" w:rsidRPr="00000000" w14:paraId="00000003">
      <w:pPr>
        <w:jc w:val="center"/>
        <w:rPr>
          <w:b w:val="1"/>
          <w:color w:val="282828"/>
        </w:rPr>
      </w:pPr>
      <w:r w:rsidDel="00000000" w:rsidR="00000000" w:rsidRPr="00000000">
        <w:rPr>
          <w:b w:val="1"/>
          <w:color w:val="282828"/>
          <w:rtl w:val="0"/>
        </w:rPr>
        <w:t xml:space="preserve">(6 CFU; 48 ore)</w:t>
      </w:r>
    </w:p>
    <w:p w:rsidR="00000000" w:rsidDel="00000000" w:rsidP="00000000" w:rsidRDefault="00000000" w:rsidRPr="00000000" w14:paraId="00000004">
      <w:pPr>
        <w:spacing w:after="150" w:before="30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Obiettivi</w:t>
      </w:r>
    </w:p>
    <w:p w:rsidR="00000000" w:rsidDel="00000000" w:rsidP="00000000" w:rsidRDefault="00000000" w:rsidRPr="00000000" w14:paraId="00000005">
      <w:pPr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Al termine dell’insegnamento lo/la studente/ssa avrà acquisito le conoscenze teoriche della gestione aziendale e della farmacia, inerenti principalmente alle attività di gestione del merchandising e del mix assortimentale farmaceutico. Saprà analizzare la struttura dei costi e ricavi della farmacia e definire le migliori strategie di mercato per migliorare la struttura del mix dei margini e migliorare la redditività d’impresa. Lo/la studente/ssa avrà inoltre </w:t>
      </w:r>
      <w:r w:rsidDel="00000000" w:rsidR="00000000" w:rsidRPr="00000000">
        <w:rPr>
          <w:rtl w:val="0"/>
        </w:rPr>
        <w:t xml:space="preserve">acquisito</w:t>
      </w:r>
      <w:r w:rsidDel="00000000" w:rsidR="00000000" w:rsidRPr="00000000">
        <w:rPr>
          <w:color w:val="000000"/>
          <w:rtl w:val="0"/>
        </w:rPr>
        <w:t xml:space="preserve"> le conoscenze teoriche di base utili per la gestione dei vari aspetti organizzativi della farmacia sia fisica che online.</w:t>
      </w:r>
    </w:p>
    <w:p w:rsidR="00000000" w:rsidDel="00000000" w:rsidP="00000000" w:rsidRDefault="00000000" w:rsidRPr="00000000" w14:paraId="00000006">
      <w:pPr>
        <w:jc w:val="both"/>
        <w:rPr>
          <w:color w:val="282828"/>
        </w:rPr>
      </w:pPr>
      <w:r w:rsidDel="00000000" w:rsidR="00000000" w:rsidRPr="00000000">
        <w:rPr>
          <w:color w:val="282828"/>
          <w:rtl w:val="0"/>
        </w:rPr>
        <w:t xml:space="preserve">Per una più completa comprensione degli obiettivi formativi, si rimanda alla lettura dei risultati di apprendimento attesi a seguito del presente percorso formativo.</w:t>
      </w:r>
    </w:p>
    <w:p w:rsidR="00000000" w:rsidDel="00000000" w:rsidP="00000000" w:rsidRDefault="00000000" w:rsidRPr="00000000" w14:paraId="00000007">
      <w:pPr>
        <w:spacing w:after="150" w:before="30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Prerequisiti</w:t>
      </w:r>
    </w:p>
    <w:p w:rsidR="00000000" w:rsidDel="00000000" w:rsidP="00000000" w:rsidRDefault="00000000" w:rsidRPr="00000000" w14:paraId="00000008">
      <w:pPr>
        <w:spacing w:after="150" w:before="30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Non sono richiesti prerequisiti d'accesso. </w:t>
      </w:r>
    </w:p>
    <w:p w:rsidR="00000000" w:rsidDel="00000000" w:rsidP="00000000" w:rsidRDefault="00000000" w:rsidRPr="00000000" w14:paraId="00000009">
      <w:pPr>
        <w:spacing w:after="150" w:before="30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Contenuti</w:t>
      </w:r>
    </w:p>
    <w:p w:rsidR="00000000" w:rsidDel="00000000" w:rsidP="00000000" w:rsidRDefault="00000000" w:rsidRPr="00000000" w14:paraId="0000000A">
      <w:pPr>
        <w:jc w:val="both"/>
        <w:rPr>
          <w:color w:val="282828"/>
        </w:rPr>
      </w:pPr>
      <w:r w:rsidDel="00000000" w:rsidR="00000000" w:rsidRPr="00000000">
        <w:rPr>
          <w:color w:val="282828"/>
          <w:rtl w:val="0"/>
        </w:rPr>
        <w:t xml:space="preserve">La scansione dei contenuti è da intendersi come puramente indicativa. Essa può infatti subire modifiche nel corso dell’insegnamento, anche in funzione delle richieste degli studenti.</w:t>
      </w:r>
    </w:p>
    <w:tbl>
      <w:tblPr>
        <w:tblStyle w:val="Table1"/>
        <w:tblW w:w="7900.0" w:type="dxa"/>
        <w:jc w:val="left"/>
        <w:tblLayout w:type="fixed"/>
        <w:tblLook w:val="0400"/>
      </w:tblPr>
      <w:tblGrid>
        <w:gridCol w:w="5860"/>
        <w:gridCol w:w="1020"/>
        <w:gridCol w:w="1020"/>
        <w:tblGridChange w:id="0">
          <w:tblGrid>
            <w:gridCol w:w="5860"/>
            <w:gridCol w:w="1020"/>
            <w:gridCol w:w="1020"/>
          </w:tblGrid>
        </w:tblGridChange>
      </w:tblGrid>
      <w:tr>
        <w:trPr>
          <w:cantSplit w:val="0"/>
          <w:trHeight w:val="292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bottom"/>
          </w:tcPr>
          <w:p w:rsidR="00000000" w:rsidDel="00000000" w:rsidP="00000000" w:rsidRDefault="00000000" w:rsidRPr="00000000" w14:paraId="0000000B">
            <w:pPr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Argomento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jc w:val="right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CFU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jc w:val="right"/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ptos Narrow" w:cs="Aptos Narrow" w:eastAsia="Aptos Narrow" w:hAnsi="Aptos Narrow"/>
                <w:b w:val="1"/>
                <w:color w:val="000000"/>
                <w:sz w:val="22"/>
                <w:szCs w:val="22"/>
                <w:rtl w:val="0"/>
              </w:rPr>
              <w:t xml:space="preserve">ORE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Introduzione alla definizione di azienda e delle sue risorse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gestione del personale della farmacia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4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gestione del magazzino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6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Posizionamento di mercato e principali leve di marketing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Strategie del mix assortimentale e dei margini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12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gestione dei rapporti con l’AUSL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0,25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2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gestione della farmacia dei servizi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1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La farmacia e il digitale – e-commerce ed e-mail marketing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4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5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  <w:tr>
        <w:trPr>
          <w:cantSplit w:val="0"/>
          <w:trHeight w:val="318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Strategie di loyalty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0,5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jc w:val="right"/>
              <w:rPr>
                <w:rFonts w:ascii="Calibri" w:cs="Calibri" w:eastAsia="Calibri" w:hAnsi="Calibri"/>
                <w:color w:val="000000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000000"/>
                <w:rtl w:val="0"/>
              </w:rPr>
              <w:t xml:space="preserve">4</w:t>
            </w:r>
          </w:p>
        </w:tc>
      </w:tr>
    </w:tbl>
    <w:p w:rsidR="00000000" w:rsidDel="00000000" w:rsidP="00000000" w:rsidRDefault="00000000" w:rsidRPr="00000000" w14:paraId="00000029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50" w:before="30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Metodi Didattici</w:t>
      </w:r>
    </w:p>
    <w:p w:rsidR="00000000" w:rsidDel="00000000" w:rsidP="00000000" w:rsidRDefault="00000000" w:rsidRPr="00000000" w14:paraId="0000002B">
      <w:pPr>
        <w:spacing w:after="15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La didattica si basa su lezioni frontali in presenza, e testimonianze aziendali, basate prevalentemente su un approccio trasmissivo nonché interattivo per la comprensione e corretta applicazione dei principi di base della gestione farmaceutica. </w:t>
      </w:r>
    </w:p>
    <w:p w:rsidR="00000000" w:rsidDel="00000000" w:rsidP="00000000" w:rsidRDefault="00000000" w:rsidRPr="00000000" w14:paraId="0000002C">
      <w:pPr>
        <w:spacing w:after="150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La frequenza alle lezioni è fortemente raccomandata al fine della proficua formazione dello studente. Il docente verifica la frequenza con modalità che verrà comunicata all’inizio delle lezioni.</w:t>
      </w:r>
    </w:p>
    <w:p w:rsidR="00000000" w:rsidDel="00000000" w:rsidP="00000000" w:rsidRDefault="00000000" w:rsidRPr="00000000" w14:paraId="0000002D">
      <w:pPr>
        <w:spacing w:after="150" w:lineRule="auto"/>
        <w:jc w:val="both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L’insegnamento è erogato in lingua italiana.</w:t>
      </w:r>
    </w:p>
    <w:p w:rsidR="00000000" w:rsidDel="00000000" w:rsidP="00000000" w:rsidRDefault="00000000" w:rsidRPr="00000000" w14:paraId="0000002E">
      <w:pPr>
        <w:spacing w:after="150" w:before="300" w:lineRule="auto"/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Verifica dell'apprendimento</w:t>
      </w:r>
    </w:p>
    <w:p w:rsidR="00000000" w:rsidDel="00000000" w:rsidP="00000000" w:rsidRDefault="00000000" w:rsidRPr="00000000" w14:paraId="0000002F">
      <w:pPr>
        <w:spacing w:after="150" w:lineRule="auto"/>
        <w:jc w:val="both"/>
        <w:rPr/>
      </w:pPr>
      <w:r w:rsidDel="00000000" w:rsidR="00000000" w:rsidRPr="00000000">
        <w:rPr>
          <w:rtl w:val="0"/>
        </w:rPr>
        <w:t xml:space="preserve">L’esame consta di una prova scritta. Nella prova scritta della durata di 1 ora  lo/la studente/ssa deve rispondere a 2 domande aperte e svolgere 1 esercizio. Lo/la studente/ssa deve dimostrare di avere acquisito le conoscenze utili per la gestione della farmacia. La valutazione della prova scritta è espressa in trentesimi e tiene conto del livello di conoscenza raggiunto e della chiarezza di esposizione degli argomenti richiesti e del linguaggio espositivo utilizzato. I risultati della prova scritta sono restituiti entro una settimana in funzione del numero degli iscritti. </w:t>
      </w:r>
    </w:p>
    <w:p w:rsidR="00000000" w:rsidDel="00000000" w:rsidP="00000000" w:rsidRDefault="00000000" w:rsidRPr="00000000" w14:paraId="00000030">
      <w:pPr>
        <w:spacing w:after="150" w:lineRule="auto"/>
        <w:jc w:val="both"/>
        <w:rPr/>
      </w:pPr>
      <w:r w:rsidDel="00000000" w:rsidR="00000000" w:rsidRPr="00000000">
        <w:rPr>
          <w:rtl w:val="0"/>
        </w:rPr>
        <w:t xml:space="preserve">Gli esami si svolgono nell’arco del calendario didattico dell’offerta formativa e per ogni appello che si intende sostenere occorre iscriversi utilizzando la piattaforma Esse3.</w:t>
      </w:r>
    </w:p>
    <w:p w:rsidR="00000000" w:rsidDel="00000000" w:rsidP="00000000" w:rsidRDefault="00000000" w:rsidRPr="00000000" w14:paraId="00000031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Testi consigliati</w:t>
      </w:r>
    </w:p>
    <w:p w:rsidR="00000000" w:rsidDel="00000000" w:rsidP="00000000" w:rsidRDefault="00000000" w:rsidRPr="00000000" w14:paraId="00000032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jc w:val="both"/>
        <w:rPr>
          <w:b w:val="1"/>
          <w:color w:val="000000"/>
        </w:rPr>
      </w:pPr>
      <w:r w:rsidDel="00000000" w:rsidR="00000000" w:rsidRPr="00000000">
        <w:rPr>
          <w:color w:val="000000"/>
          <w:rtl w:val="0"/>
        </w:rPr>
        <w:t xml:space="preserve">Slide, letture integrative e altro materiale fornito/ indicato dal Docente durante il corso. Il materiale sarà approfonditamente discusso in aula e reso disponibile sulla piattaforma Moodle o Teams.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jc w:val="both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Risultati di apprendimento attesi</w:t>
      </w:r>
    </w:p>
    <w:p w:rsidR="00000000" w:rsidDel="00000000" w:rsidP="00000000" w:rsidRDefault="00000000" w:rsidRPr="00000000" w14:paraId="00000036">
      <w:pPr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Conoscenza e capacità di comprensione</w:t>
      </w:r>
      <w:r w:rsidDel="00000000" w:rsidR="00000000" w:rsidRPr="00000000">
        <w:rPr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Dei fattori critici di successo utili alla definizione del posizionamento di mercato e delle principali leve di marketing.</w:t>
      </w:r>
    </w:p>
    <w:p w:rsidR="00000000" w:rsidDel="00000000" w:rsidP="00000000" w:rsidRDefault="00000000" w:rsidRPr="00000000" w14:paraId="00000039">
      <w:pPr>
        <w:spacing w:after="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Capacità di applicare conoscenza e comprensione:</w:t>
      </w:r>
      <w:r w:rsidDel="00000000" w:rsidR="00000000" w:rsidRPr="00000000">
        <w:rPr>
          <w:color w:val="000000"/>
          <w:rtl w:val="0"/>
        </w:rPr>
        <w:t xml:space="preserve"> </w:t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Nell’analizzare il mix </w:t>
      </w:r>
      <w:r w:rsidDel="00000000" w:rsidR="00000000" w:rsidRPr="00000000">
        <w:rPr>
          <w:rtl w:val="0"/>
        </w:rPr>
        <w:t xml:space="preserve">assortimentale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il mix dei margini.</w:t>
      </w:r>
    </w:p>
    <w:p w:rsidR="00000000" w:rsidDel="00000000" w:rsidP="00000000" w:rsidRDefault="00000000" w:rsidRPr="00000000" w14:paraId="0000003B">
      <w:pPr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Autonomia di giudizio</w:t>
      </w:r>
      <w:r w:rsidDel="00000000" w:rsidR="00000000" w:rsidRPr="00000000">
        <w:rPr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0" w:line="240" w:lineRule="auto"/>
        <w:ind w:left="284" w:right="0" w:hanging="284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222222"/>
          <w:sz w:val="24"/>
          <w:szCs w:val="24"/>
          <w:highlight w:val="white"/>
          <w:u w:val="none"/>
          <w:vertAlign w:val="baseline"/>
          <w:rtl w:val="0"/>
        </w:rPr>
        <w:t xml:space="preserve">Dispensare correttamente i medicinali, tenendo conto della prescrizione del medico delle specifiche esigenze del paziente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3D">
      <w:pPr>
        <w:spacing w:after="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Abilità comunicative</w:t>
      </w:r>
      <w:r w:rsidDel="00000000" w:rsidR="00000000" w:rsidRPr="00000000">
        <w:rPr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hd w:fill="auto" w:val="clear"/>
          <w:vertAlign w:val="baseline"/>
        </w:rPr>
      </w:pPr>
      <w:bookmarkStart w:colFirst="0" w:colLast="0" w:name="_heading=h.30j0zll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highlight w:val="white"/>
          <w:u w:val="none"/>
          <w:vertAlign w:val="baseline"/>
          <w:rtl w:val="0"/>
        </w:rPr>
        <w:t xml:space="preserve">Hanno capacità relazionali e organizzative nella gestione della farmacia.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360" w:right="0" w:hanging="360"/>
        <w:jc w:val="both"/>
        <w:rPr>
          <w:highlight w:val="white"/>
        </w:rPr>
      </w:pPr>
      <w:bookmarkStart w:colFirst="0" w:colLast="0" w:name="_heading=h.ki9xvgv5itsx" w:id="1"/>
      <w:bookmarkEnd w:id="1"/>
      <w:r w:rsidDel="00000000" w:rsidR="00000000" w:rsidRPr="00000000">
        <w:rPr>
          <w:highlight w:val="white"/>
          <w:rtl w:val="0"/>
        </w:rPr>
        <w:t xml:space="preserve">Sono capaci di comunicare, in forma scritta e orale, in inglese, oltre che in italiano.</w:t>
      </w:r>
    </w:p>
    <w:p w:rsidR="00000000" w:rsidDel="00000000" w:rsidP="00000000" w:rsidRDefault="00000000" w:rsidRPr="00000000" w14:paraId="00000040">
      <w:pPr>
        <w:spacing w:after="60" w:lineRule="auto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Capacità di apprendere</w:t>
      </w:r>
      <w:r w:rsidDel="00000000" w:rsidR="00000000" w:rsidRPr="00000000">
        <w:rPr>
          <w:color w:val="000000"/>
          <w:rtl w:val="0"/>
        </w:rPr>
        <w:t xml:space="preserve">: </w:t>
      </w:r>
    </w:p>
    <w:p w:rsidR="00000000" w:rsidDel="00000000" w:rsidP="00000000" w:rsidRDefault="00000000" w:rsidRPr="00000000" w14:paraId="00000041">
      <w:pPr>
        <w:spacing w:line="259" w:lineRule="auto"/>
        <w:rPr/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- </w:t>
      </w:r>
      <w:r w:rsidDel="00000000" w:rsidR="00000000" w:rsidRPr="00000000">
        <w:rPr>
          <w:rtl w:val="0"/>
        </w:rPr>
        <w:t xml:space="preserve">Nozioni utili per l'aggiornamento continuo delle proprie conoscenze;</w:t>
      </w:r>
    </w:p>
    <w:p w:rsidR="00000000" w:rsidDel="00000000" w:rsidP="00000000" w:rsidRDefault="00000000" w:rsidRPr="00000000" w14:paraId="00000042">
      <w:pPr>
        <w:spacing w:line="259" w:lineRule="auto"/>
        <w:rPr/>
      </w:pPr>
      <w:r w:rsidDel="00000000" w:rsidR="00000000" w:rsidRPr="00000000">
        <w:rPr>
          <w:rtl w:val="0"/>
        </w:rPr>
        <w:t xml:space="preserve">- Strumenti informatici per la consultazione di banche dati e della letteratura specializzata;</w:t>
      </w:r>
    </w:p>
    <w:p w:rsidR="00000000" w:rsidDel="00000000" w:rsidP="00000000" w:rsidRDefault="00000000" w:rsidRPr="00000000" w14:paraId="00000043">
      <w:pPr>
        <w:spacing w:line="259" w:lineRule="auto"/>
        <w:rPr/>
      </w:pPr>
      <w:r w:rsidDel="00000000" w:rsidR="00000000" w:rsidRPr="00000000">
        <w:rPr>
          <w:rtl w:val="0"/>
        </w:rPr>
        <w:t xml:space="preserve">- Nozioni utili per affrontare scuole di dottorato, master e scuole di specializzazione.</w:t>
      </w:r>
    </w:p>
    <w:p w:rsidR="00000000" w:rsidDel="00000000" w:rsidP="00000000" w:rsidRDefault="00000000" w:rsidRPr="00000000" w14:paraId="00000044">
      <w:pPr>
        <w:spacing w:line="259" w:lineRule="auto"/>
        <w:rPr>
          <w:color w:val="ff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60" w:lineRule="auto"/>
        <w:ind w:left="426" w:hanging="426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426" w:hanging="426"/>
        <w:jc w:val="both"/>
        <w:rPr>
          <w:rFonts w:ascii="Arial" w:cs="Arial" w:eastAsia="Arial" w:hAnsi="Arial"/>
          <w:color w:val="2222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jc w:val="both"/>
        <w:rPr/>
      </w:pPr>
      <w:r w:rsidDel="00000000" w:rsidR="00000000" w:rsidRPr="00000000">
        <w:rPr>
          <w:rtl w:val="0"/>
        </w:rPr>
      </w:r>
    </w:p>
    <w:sectPr>
      <w:pgSz w:h="16840" w:w="11900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Aptos Narrow"/>
  <w:font w:name="Noto Sans Symbols">
    <w:embedRegular w:fontKey="{00000000-0000-0000-0000-000000000000}" r:id="rId1" w:subsetted="0"/>
    <w:embedBold w:fontKey="{00000000-0000-0000-0000-000000000000}" r:id="rId2" w:subsetted="0"/>
  </w:font>
  <w:font w:name="Open Sans">
    <w:embedRegular w:fontKey="{00000000-0000-0000-0000-000000000000}" r:id="rId3" w:subsetted="0"/>
    <w:embedBold w:fontKey="{00000000-0000-0000-0000-000000000000}" r:id="rId4" w:subsetted="0"/>
    <w:embedItalic w:fontKey="{00000000-0000-0000-0000-000000000000}" r:id="rId5" w:subsetted="0"/>
    <w:embedBoldItalic w:fontKey="{00000000-0000-0000-0000-000000000000}" r:id="rId6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0"/>
      <w:numFmt w:val="bullet"/>
      <w:lvlText w:val="-"/>
      <w:lvlJc w:val="left"/>
      <w:pPr>
        <w:ind w:left="360" w:hanging="360"/>
      </w:pPr>
      <w:rPr>
        <w:rFonts w:ascii="Calibri" w:cs="Calibri" w:eastAsia="Calibri" w:hAnsi="Calibri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4"/>
      <w:numFmt w:val="bullet"/>
      <w:lvlText w:val="-"/>
      <w:lvlJc w:val="left"/>
      <w:pPr>
        <w:ind w:left="720" w:hanging="360"/>
      </w:pPr>
      <w:rPr>
        <w:rFonts w:ascii="Open Sans" w:cs="Open Sans" w:eastAsia="Open Sans" w:hAnsi="Open San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2A1880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NormaleWeb">
    <w:name w:val="Normal (Web)"/>
    <w:basedOn w:val="Normale"/>
    <w:uiPriority w:val="99"/>
    <w:unhideWhenUsed w:val="1"/>
    <w:rsid w:val="002A1880"/>
    <w:pPr>
      <w:spacing w:after="100" w:afterAutospacing="1" w:before="100" w:beforeAutospacing="1"/>
    </w:pPr>
    <w:rPr>
      <w:rFonts w:ascii="Times New Roman" w:cs="Times New Roman" w:eastAsia="Times New Roman" w:hAnsi="Times New Roman"/>
      <w:lang w:eastAsia="it-IT"/>
    </w:rPr>
  </w:style>
  <w:style w:type="paragraph" w:styleId="Paragrafoelenco">
    <w:name w:val="List Paragraph"/>
    <w:basedOn w:val="Normale"/>
    <w:uiPriority w:val="34"/>
    <w:qFormat w:val="1"/>
    <w:rsid w:val="002A1880"/>
    <w:pPr>
      <w:spacing w:after="200" w:line="276" w:lineRule="auto"/>
      <w:ind w:left="720"/>
      <w:contextualSpacing w:val="1"/>
    </w:pPr>
    <w:rPr>
      <w:sz w:val="22"/>
      <w:szCs w:val="22"/>
    </w:rPr>
  </w:style>
  <w:style w:type="character" w:styleId="Collegamentoipertestuale">
    <w:name w:val="Hyperlink"/>
    <w:basedOn w:val="Carpredefinitoparagrafo"/>
    <w:uiPriority w:val="99"/>
    <w:unhideWhenUsed w:val="1"/>
    <w:rsid w:val="002A1880"/>
    <w:rPr>
      <w:color w:val="0000ff"/>
      <w:u w:val="single"/>
    </w:rPr>
  </w:style>
  <w:style w:type="character" w:styleId="Rimandocommento">
    <w:name w:val="annotation reference"/>
    <w:basedOn w:val="Carpredefinitoparagrafo"/>
    <w:uiPriority w:val="99"/>
    <w:semiHidden w:val="1"/>
    <w:unhideWhenUsed w:val="1"/>
    <w:rsid w:val="00A66B09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 w:val="1"/>
    <w:rsid w:val="00A66B09"/>
    <w:rPr>
      <w:sz w:val="20"/>
      <w:szCs w:val="20"/>
    </w:rPr>
  </w:style>
  <w:style w:type="character" w:styleId="TestocommentoCarattere" w:customStyle="1">
    <w:name w:val="Testo commento Carattere"/>
    <w:basedOn w:val="Carpredefinitoparagrafo"/>
    <w:link w:val="Testocommento"/>
    <w:uiPriority w:val="99"/>
    <w:rsid w:val="00A66B0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 w:val="1"/>
    <w:unhideWhenUsed w:val="1"/>
    <w:rsid w:val="00A66B09"/>
    <w:rPr>
      <w:b w:val="1"/>
      <w:bCs w:val="1"/>
    </w:rPr>
  </w:style>
  <w:style w:type="character" w:styleId="SoggettocommentoCarattere" w:customStyle="1">
    <w:name w:val="Soggetto commento Carattere"/>
    <w:basedOn w:val="TestocommentoCarattere"/>
    <w:link w:val="Soggettocommento"/>
    <w:uiPriority w:val="99"/>
    <w:semiHidden w:val="1"/>
    <w:rsid w:val="00A66B09"/>
    <w:rPr>
      <w:b w:val="1"/>
      <w:bCs w:val="1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B01E9F"/>
    <w:rPr>
      <w:rFonts w:ascii="Times New Roman" w:cs="Times New Roman" w:hAnsi="Times New Roman"/>
      <w:sz w:val="18"/>
      <w:szCs w:val="18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B01E9F"/>
    <w:rPr>
      <w:rFonts w:ascii="Times New Roman" w:cs="Times New Roman" w:hAnsi="Times New Roman"/>
      <w:sz w:val="18"/>
      <w:szCs w:val="18"/>
    </w:rPr>
  </w:style>
  <w:style w:type="paragraph" w:styleId="Revisione">
    <w:name w:val="Revision"/>
    <w:hidden w:val="1"/>
    <w:uiPriority w:val="99"/>
    <w:semiHidden w:val="1"/>
    <w:rsid w:val="00F636C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OpenSans-regular.ttf"/><Relationship Id="rId4" Type="http://schemas.openxmlformats.org/officeDocument/2006/relationships/font" Target="fonts/OpenSans-bold.ttf"/><Relationship Id="rId5" Type="http://schemas.openxmlformats.org/officeDocument/2006/relationships/font" Target="fonts/OpenSans-italic.ttf"/><Relationship Id="rId6" Type="http://schemas.openxmlformats.org/officeDocument/2006/relationships/font" Target="fonts/OpenSans-boldItalic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z2aV6a4b2xuHWKfOVkHf7AtgWQ==">CgMxLjAyCWguMzBqMHpsbDIOaC5raTl4dmd2NWl0c3g4AHIhMUpZNGprcW85VGlENFNpd1RNSlY0WHgyZFBUMlhReWM1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2024-04-12T14:11:00Z</dcterms:created>
  <dc:creator>Maria Angela VANDELLI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be1dfc4a0b1c4026fe59cf1ef37479f8581c22e12535b65d8eee47510ef0b162</vt:lpwstr>
  </property>
</Properties>
</file>