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FARMACIA (D.M. 1147/22)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0" w:lineRule="auto"/>
        <w:jc w:val="center"/>
        <w:rPr>
          <w:rFonts w:ascii="Calibri" w:cs="Calibri" w:eastAsia="Calibri" w:hAnsi="Calibri"/>
          <w:b w:val="1"/>
          <w:color w:val="282828"/>
        </w:rPr>
      </w:pPr>
      <w:r w:rsidDel="00000000" w:rsidR="00000000" w:rsidRPr="00000000">
        <w:rPr>
          <w:rFonts w:ascii="Calibri" w:cs="Calibri" w:eastAsia="Calibri" w:hAnsi="Calibri"/>
          <w:b w:val="1"/>
          <w:color w:val="282828"/>
          <w:rtl w:val="0"/>
        </w:rPr>
        <w:t xml:space="preserve">Normativa farmaceutica e deontologia (7 CFU; 56 ore)</w:t>
      </w:r>
    </w:p>
    <w:p w:rsidR="00000000" w:rsidDel="00000000" w:rsidP="00000000" w:rsidRDefault="00000000" w:rsidRPr="00000000" w14:paraId="00000003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Obiettivi</w:t>
      </w:r>
    </w:p>
    <w:p w:rsidR="00000000" w:rsidDel="00000000" w:rsidP="00000000" w:rsidRDefault="00000000" w:rsidRPr="00000000" w14:paraId="00000004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 termine dell’insegnamento lo/la studente/ssa avrà acquisito le conoscenze teoriche e pratiche della normativa farmaceutica e degli aspetti deontologici relativi allo svolgimento della professione del farmacista con particolare riguardo alla dispensazione dei medicinali.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282828"/>
        </w:rPr>
      </w:pPr>
      <w:r w:rsidDel="00000000" w:rsidR="00000000" w:rsidRPr="00000000">
        <w:rPr>
          <w:rFonts w:ascii="Calibri" w:cs="Calibri" w:eastAsia="Calibri" w:hAnsi="Calibri"/>
          <w:color w:val="282828"/>
          <w:rtl w:val="0"/>
        </w:rPr>
        <w:t xml:space="preserve">Per una più completa comprensione degli obiettivi formativi si rimanda alla lettura dei risultati di apprendimento attesi.</w:t>
      </w:r>
    </w:p>
    <w:p w:rsidR="00000000" w:rsidDel="00000000" w:rsidP="00000000" w:rsidRDefault="00000000" w:rsidRPr="00000000" w14:paraId="00000006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Prerequisiti</w:t>
      </w:r>
    </w:p>
    <w:p w:rsidR="00000000" w:rsidDel="00000000" w:rsidP="00000000" w:rsidRDefault="00000000" w:rsidRPr="00000000" w14:paraId="00000007">
      <w:pPr>
        <w:spacing w:after="150" w:before="300" w:line="312" w:lineRule="auto"/>
        <w:jc w:val="both"/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Sono richieste conoscenze sui farmaci con particolare riguardo agli aspetti terapeutici.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Contenuti</w:t>
      </w:r>
    </w:p>
    <w:p w:rsidR="00000000" w:rsidDel="00000000" w:rsidP="00000000" w:rsidRDefault="00000000" w:rsidRPr="00000000" w14:paraId="00000009">
      <w:pPr>
        <w:spacing w:after="150" w:before="30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scansione dei contenuti è da </w:t>
      </w:r>
      <w:r w:rsidDel="00000000" w:rsidR="00000000" w:rsidRPr="00000000">
        <w:rPr>
          <w:rtl w:val="0"/>
        </w:rPr>
        <w:t xml:space="preserve">intendersi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come puramente indicativa. Essa può infatti subire modifiche nel corso dell’insegnamento, anche in funzione delle richieste degli studenti.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Introduzione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0,125 CFU,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 ora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Professioni sanitarie – Ordine professionale dei farmacisti - Codice deontologico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0,25 CFU,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D.Lvo 219/2006: definizione e classificazione medicinali – Etichettatura dei medicinali – Autorizzazione all’immissione in commercio – Agenzie di valutazione dei farmaci (EMA, AIFA)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0,5 CFU,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Normativa sulle sostanze stupefacenti e psicotrope: DPR 309/90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1,125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9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Normativa sulle sostanze dopanti: L376/2000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0,125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 ora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Farmacopee. Farmacopea ufficiale italiana (FUI). Tabelle FUI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0,5 CFU,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Norme concernenti il servizio farmaceutico: la farmacia. Parafarmacia e Corner GDO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ricetta medica - Classificazione dei medicinali ad uso umano ai fini della fornitura (D.Lvo 219/2006): medicinali soggetti a ricetta medica, soggetti a ricetta medica da rinnovare volta per volta, medicinali soggetti a ricetta limitativa. Ricetta ministeriale a ricalco. Ricetta dematerializzata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0,75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 ore).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Servizio Sanitario Nazionale: Piano triennale, Lea, Prontuari, Note AIFA, Piani Terapeutici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0,375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Prescrizione dei medicinali industriali ad uso umano a carico del Servizio Sanitario Nazionale: ricetta SSN – ricetta dematerializzata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Dispensazione Medicinali generici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0,125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 ora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Distribuzione diretta, distribuzione per conto e distribuzione convenzionata dei medicinali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0,375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Medicinali veterinari: D.Lvo 193/2006 - Definizione e dispensazione dei medicinali ad uso veterinario. Ricetta dematerializzata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Medicinali non soggetti a prescrizione medica – Pubblicità dei medicinali – Vendita on-line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0,25 CFU, 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Dispositivi medici: classificazione e norme relative alla loro commercializzazione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0,375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  <w:br w:type="textWrapping"/>
        <w:t xml:space="preserve">Farmacovigilanza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Farmacoeconomia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(0,25 CFU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Disimpegno del servizio farmaceutico: obblighi titolare e direttore della farmacia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0,125 CFU, 1 ora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Farmacia dei Servizi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(0,25 CFU, 2 ore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1D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Metodi Didattici</w:t>
      </w:r>
    </w:p>
    <w:p w:rsidR="00000000" w:rsidDel="00000000" w:rsidP="00000000" w:rsidRDefault="00000000" w:rsidRPr="00000000" w14:paraId="0000001E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Lezioni teoriche. </w:t>
      </w:r>
    </w:p>
    <w:p w:rsidR="00000000" w:rsidDel="00000000" w:rsidP="00000000" w:rsidRDefault="00000000" w:rsidRPr="00000000" w14:paraId="0000001F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lezioni teoriche frontali prevedono l’utilizzo di un approccio interattivo con la discussione in aula degli argomenti necessari per comprendere e applicare correttamente le norme relative allo svolgimento della professione del farmacista. </w:t>
      </w:r>
    </w:p>
    <w:p w:rsidR="00000000" w:rsidDel="00000000" w:rsidP="00000000" w:rsidRDefault="00000000" w:rsidRPr="00000000" w14:paraId="00000020">
      <w:pPr>
        <w:spacing w:after="150" w:lineRule="auto"/>
        <w:jc w:val="both"/>
        <w:rPr/>
      </w:pPr>
      <w:r w:rsidDel="00000000" w:rsidR="00000000" w:rsidRPr="00000000">
        <w:rPr>
          <w:rtl w:val="0"/>
        </w:rPr>
        <w:t xml:space="preserve">La frequenza alle lezioni è fortemente raccomandata al fine della proficua formazione dello studente. Il docente verifica la frequenza con modalità che verrà comunicata all’inizio delle lezioni.</w:t>
      </w:r>
    </w:p>
    <w:p w:rsidR="00000000" w:rsidDel="00000000" w:rsidP="00000000" w:rsidRDefault="00000000" w:rsidRPr="00000000" w14:paraId="00000021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L’insegnamento è erogato in lingua italiana.</w:t>
      </w:r>
    </w:p>
    <w:p w:rsidR="00000000" w:rsidDel="00000000" w:rsidP="00000000" w:rsidRDefault="00000000" w:rsidRPr="00000000" w14:paraId="00000022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Verifica dell'apprendimento</w:t>
      </w:r>
    </w:p>
    <w:p w:rsidR="00000000" w:rsidDel="00000000" w:rsidP="00000000" w:rsidRDefault="00000000" w:rsidRPr="00000000" w14:paraId="00000023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L’esame consta di una prova scritta e di una prova orale. La prova scritta precede la prova orale.</w:t>
      </w:r>
    </w:p>
    <w:p w:rsidR="00000000" w:rsidDel="00000000" w:rsidP="00000000" w:rsidRDefault="00000000" w:rsidRPr="00000000" w14:paraId="00000024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Nella prova scritta della durata di un'ora lo/la studente/ssa deve rispondere a 2 domande aperte e a una domanda a risposta multipla che prevede 5 risposte di cui una sola esatta. La prima domanda riguarda la dispensazione con ricetta di un medicinale stupefacente mentre la seconda domanda e la domanda a risposta multipla riguardano la gestione dei medicinali stupefacenti.  Lo/la studente/ssa deve dimostrare di avere acquisito le conoscenze utili per la classificazione, la gestione e la dispensazione dei medicinali stupefacenti in accordo con il DPR 309/90. La valutazione della prova scritta prevede un giudizio (sufficiente, discreto, buono distinto e ottimo) di cui si tiene conto nell’attribuzione del voto finale. I risultati della prova scritta sono restituiti entro una settimana in funzione del numero degli iscritti. </w:t>
      </w:r>
    </w:p>
    <w:p w:rsidR="00000000" w:rsidDel="00000000" w:rsidP="00000000" w:rsidRDefault="00000000" w:rsidRPr="00000000" w14:paraId="00000025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Nella prova orale, che segue la prova scritta di norma dopo una settimana, della durata di circa 30 minuti, viene verificato che lo/la studente/ssa abbia appreso i concetti base della normativa farmaceutica e degli aspetti deontologici relativi all’esercizio della professione e sappia applicare le conoscenze acquisite negli aspetti pratici dello svolgimento della professione. </w:t>
      </w:r>
    </w:p>
    <w:p w:rsidR="00000000" w:rsidDel="00000000" w:rsidP="00000000" w:rsidRDefault="00000000" w:rsidRPr="00000000" w14:paraId="00000026">
      <w:pPr>
        <w:spacing w:after="15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valutazione è espressa in trentesimi.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L’arrotondamento del voto dipenderà dal giudizio ottenuto nello scritto.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Gli indicatori (caratteristiche accertate) di valutazione della prova orale sono: la proprietà di linguaggio, la capacità di collegamento dei vari argomenti e la capacità di applicare le conoscenze acquisite. </w:t>
      </w:r>
    </w:p>
    <w:p w:rsidR="00000000" w:rsidDel="00000000" w:rsidP="00000000" w:rsidRDefault="00000000" w:rsidRPr="00000000" w14:paraId="00000027">
      <w:pPr>
        <w:spacing w:after="15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Gli esami si svolgono nell’arco del calendario didattico dell’offerta formativa e per ogni appello che si intende sostenere occorre iscriversi utilizzando la piattaforma Esse3.</w:t>
      </w:r>
    </w:p>
    <w:p w:rsidR="00000000" w:rsidDel="00000000" w:rsidP="00000000" w:rsidRDefault="00000000" w:rsidRPr="00000000" w14:paraId="00000028">
      <w:pPr>
        <w:spacing w:after="150" w:before="300"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Testi consigliati</w:t>
      </w:r>
    </w:p>
    <w:p w:rsidR="00000000" w:rsidDel="00000000" w:rsidP="00000000" w:rsidRDefault="00000000" w:rsidRPr="00000000" w14:paraId="00000029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LEGISLAZIONE FARMACEUTICA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12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Farmacopea Ufficiale ed eventuali supplementi in vigore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12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Legislazione farmaceutica: P. Minghetti, M. Marchetti, Legislazione farmaceutica, Casa Editrice Ambrosiana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12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Materiale didattico presentato a lezione che non è sostitutivo dei testi di riferimento, ma integrativo di questi e costituisce una guida per la organizzazione e la comprensione degli argomenti. </w:t>
      </w:r>
    </w:p>
    <w:p w:rsidR="00000000" w:rsidDel="00000000" w:rsidP="00000000" w:rsidRDefault="00000000" w:rsidRPr="00000000" w14:paraId="0000002D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Siti di interesse:</w:t>
      </w:r>
    </w:p>
    <w:p w:rsidR="00000000" w:rsidDel="00000000" w:rsidP="00000000" w:rsidRDefault="00000000" w:rsidRPr="00000000" w14:paraId="0000002E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https://www.fcr.re.it/legislazione-per-il-farmacista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https://www.salute.gov.it/portale/home.html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https://www.aifa.gov.it/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12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12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Risultati di apprendimento attesi</w:t>
      </w:r>
    </w:p>
    <w:p w:rsidR="00000000" w:rsidDel="00000000" w:rsidP="00000000" w:rsidRDefault="00000000" w:rsidRPr="00000000" w14:paraId="00000033">
      <w:pPr>
        <w:spacing w:after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Conoscenza e capacità di comprensione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60" w:lineRule="auto"/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Delle normative nazionali e comunitarie concernenti la produzione e la dispensazione di medicinali ad uso umano e veterinario, degli aspetti regolatori e farmacoeconomici relativi all'esercizio della professione e della deontologia.</w:t>
      </w:r>
    </w:p>
    <w:p w:rsidR="00000000" w:rsidDel="00000000" w:rsidP="00000000" w:rsidRDefault="00000000" w:rsidRPr="00000000" w14:paraId="00000035">
      <w:pPr>
        <w:spacing w:after="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Capacità di applicare conoscenza e comprensione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6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Nel dispensare correttamente medicinali sia che richiedono ricetta medica sia senza obbligo di prescrizione e nel fornire tutte le informazioni previste dalla normativa al paziente;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60" w:lineRule="auto"/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Degli aspetti normativi e deontologici nell’esercizio della professione.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Autonomia di giudizio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Dispensare correttamente i medicinali, tenendo conto della prescrizione del medico delle specifiche esigenze del paziente;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284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Partecipare alla farmacovigilanza, a programmi di educazione sanitaria e a campagne di prevenzione.</w:t>
      </w:r>
    </w:p>
    <w:p w:rsidR="00000000" w:rsidDel="00000000" w:rsidP="00000000" w:rsidRDefault="00000000" w:rsidRPr="00000000" w14:paraId="0000003D">
      <w:pPr>
        <w:spacing w:after="60" w:lineRule="auto"/>
        <w:jc w:val="both"/>
        <w:rPr>
          <w:rFonts w:ascii="Calibri" w:cs="Calibri" w:eastAsia="Calibri" w:hAnsi="Calibri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Abilità comunicative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60" w:lineRule="auto"/>
        <w:ind w:left="426" w:hanging="42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Sono capaci di fornire consulenza in campo sanitario rivestendo un ruolo di educatore sanitario e collaborare con medici, pazienti e strutture sanitarie fornendo indicazioni utili in particolar modo sull'uso corretto dei medicinali.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60" w:lineRule="auto"/>
        <w:ind w:left="426" w:hanging="426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Sono capaci di comunicare, in forma scritta e orale, in inglese, oltre che in italiano.</w:t>
      </w:r>
    </w:p>
    <w:p w:rsidR="00000000" w:rsidDel="00000000" w:rsidP="00000000" w:rsidRDefault="00000000" w:rsidRPr="00000000" w14:paraId="00000041">
      <w:pPr>
        <w:spacing w:after="60" w:lineRule="auto"/>
        <w:ind w:left="426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Capacità di apprendere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spacing w:after="60" w:lineRule="auto"/>
        <w:ind w:left="426" w:hanging="42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</w:t>
        <w:tab/>
        <w:t xml:space="preserve">Nozioni utili per l'aggiornamento continuo delle proprie conoscenze;</w:t>
      </w:r>
    </w:p>
    <w:p w:rsidR="00000000" w:rsidDel="00000000" w:rsidP="00000000" w:rsidRDefault="00000000" w:rsidRPr="00000000" w14:paraId="00000044">
      <w:pPr>
        <w:spacing w:after="60" w:lineRule="auto"/>
        <w:ind w:left="426" w:hanging="42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</w:t>
        <w:tab/>
        <w:t xml:space="preserve">Strumenti informatici per la consultazione di banche dati e della letteratura specializzata;</w:t>
      </w:r>
    </w:p>
    <w:p w:rsidR="00000000" w:rsidDel="00000000" w:rsidP="00000000" w:rsidRDefault="00000000" w:rsidRPr="00000000" w14:paraId="00000045">
      <w:pPr>
        <w:spacing w:after="60" w:lineRule="auto"/>
        <w:ind w:left="426" w:hanging="42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</w:t>
        <w:tab/>
        <w:t xml:space="preserve">Nozioni utili per affrontare scuole di dottorato, master e scuole di specializzazione.</w:t>
      </w:r>
    </w:p>
    <w:p w:rsidR="00000000" w:rsidDel="00000000" w:rsidP="00000000" w:rsidRDefault="00000000" w:rsidRPr="00000000" w14:paraId="00000046">
      <w:pPr>
        <w:spacing w:after="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2679F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ifa.gov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cr.re.it/legislazione-per-il-farmacista" TargetMode="External"/><Relationship Id="rId8" Type="http://schemas.openxmlformats.org/officeDocument/2006/relationships/hyperlink" Target="https://www.salute.gov.it/portale/hom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mDRrYyIopAqZTWmG21+kkJ3O1A==">CgMxLjA4AHIhMXhIUUFkdV9jc0ZMNjRBWjJaUl9zdDVVbmtqZXd6dHNP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2024-04-12T15:09:00Z</dcterms:created>
</cp:coreProperties>
</file>