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282828"/>
        </w:rPr>
      </w:pPr>
      <w:r w:rsidDel="00000000" w:rsidR="00000000" w:rsidRPr="00000000">
        <w:rPr>
          <w:rFonts w:ascii="Calibri" w:cs="Calibri" w:eastAsia="Calibri" w:hAnsi="Calibri"/>
          <w:color w:val="282828"/>
          <w:rtl w:val="0"/>
        </w:rPr>
        <w:t xml:space="preserve">FARMACIA (D.M. 1147/22)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Patologia generale e terminologia medica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Anno 2025-26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corso consta di due segmenti, Patologia generale e fisiopatologia (7CFU) e Immunologia e immunopatologia (3 CFU), entrambi erogati nel I semestre.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Obiettivi formativi</w:t>
      </w:r>
    </w:p>
    <w:p w:rsidR="00000000" w:rsidDel="00000000" w:rsidP="00000000" w:rsidRDefault="00000000" w:rsidRPr="00000000" w14:paraId="00000008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termine dell’insegnamento lo/a studente/essa avrà acquisito i) una conoscenza approfondita dei principali meccanismi patogenetici responsabili delle alterazioni dell’omeostasi e dell’insorgenza delle malattie allo scopo di acquisire le basi necessarie per comprendere i diversi fenomeni patologici e i target dei principali trattamenti farmacologici; ii) una conoscenza appropriata delle difese biologiche fondamentali messe in atto in risposta agli agenti patogeni; iii) un linguaggio medico-scientifico adeguato.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una più completa comprensione degli obiettivi formativi, si rimanda alla lettura dei risultati di apprendimento attesi a seguito dello svolgimento del presente percorso formativo.</w:t>
      </w:r>
    </w:p>
    <w:p w:rsidR="00000000" w:rsidDel="00000000" w:rsidP="00000000" w:rsidRDefault="00000000" w:rsidRPr="00000000" w14:paraId="0000000A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Prerequisiti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Conoscenze generali di fisiologia generale, biochimica e microbiologia.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Programma del corso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Patologia generale e fisiopatologia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(7 CFU – 56 ore)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Eziologia (2 CFU, 16 ore). Concetto di salute e di malattia. Patologia ambientale: agenti fisici, chimici e della nutrizione. Patologia genetica: Anomalie strutturali e numeriche dei cromosomi. Malattie autosomiche dominanti e recessive. Malattie legate al cromosoma X. Malattie multifattoriali. Diagnosi prenatale.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Patologia cellulare ed extracellulare (1 CFU, 8 ore): adattamento, danno e morte cellulare. Calcificazioni e invecchiamento.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Infiammazione acuta e cronica (1,5 CFU, 12 ore). Cellule e mediatori della flogosi. Manifestazioni sistemiche dell'infiammazione. Riparazione tissutale: rigenerazione, guarigione e fibrosi.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Fisiopatologia (1,5 CFU, 12 ore): i) della termoregolazione (ipertermie e ipotermie); ii) del sistema vasale (ischemia, infarto, embolia, ipo- e ipertensione arteriosa); iii) dell’emostasi (coagulazione, trombosi, emorragia); iv) del diabete (epidemiologia, classificazione, complicanze macro- e micro-vascolari, diagnosi) e aterosclerosi (fattori di rischio, patogenesi).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Neoplasie (1 CFU, 8 ore): definizione e classificazione. Epidemiologia dei tumori e carcinogenesi chimica e fisica. Oncogeni e oncosoppressori. Metastatizzazione.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Immunologia e immunopatologia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 CFU – 24 ore)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Caratteristiche generali del sistema immunitaria (1 CFU, 8 ore). Risposta immunitaria innata: fagocitosi, il sistema del complemento. Risposta immunitaria adattativa: linfociti B, caratteristiche generali degli anticorpi, classi di anticorpi. Il complesso maggiore di istocompatibilità (MHC). Ruolo dell’MHC nel rigetto dei trapianti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Risposta adattativa T mediata (1 CFU, 8 ore). I linfociti T e recettore dei linfociti T. Linfociti helper e citotossici, citotossicità cellulo-mediata. Principali meccanismi di risposta immunitaria contro virus, batteri intracellulari, batteri extracellulari, parassiti.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Immunopatologia (1 CFU, 8 ore). Reazioni di ipersensibilità del I, II, III e IV tipo e patologie correlate. Immunodeficienze primitive e secondarie. Tolleranza e meccanismi di rottura della tolleranza: principali patologie autoimmuni.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Metodi didattici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L’insegnamento si svolge in presenza ed è erogato in lingua italiana. Le lezioni vengono svolte con l’ausilio di mezzi audiovisivi (presentazioni in PowerPoint).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frequenza alle lezioni è fortemente raccomandata al fine della proficua formazione dello studente.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L’insegnamento è erogato in lingua italiana.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 dell’apprendimento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L'apprendimento verrà valutato al termine dell’insegnamento secondo il calendario ufficiale degli appelli d’esame.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L’esame sarà orale e prevede la verifica delle conoscenze su diversi argomenti trattati a lezione (di norma quattro domande per il segmento di Patologia generale e fisiopatologia e due domande per il segmento di Immunologia e immunopatologia). Il voto finale sarà la media ponderata dei voti ottenuti nei segmenti di Patologia generale e fisiopatologia (7 CFU) e di Immunologia (Immunità) e immunopatologia (3 CFU).</w:t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Saranno valutati: il grado di conoscenza dei diversi temi affrontati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nelle varie unità; la correttezza e la completezza del contenuto; la terminologia medico-scientifica utilizzata; la capacità di collegare/integrare argomenti diversi trattati nell’insegnamento, e/o in altri insegnamenti del corso di laurea. 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verifica verrà considerata superata se lo/a studente/ssa supererà la soglia dei 18/30 in tutti e due i segmenti. </w:t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Testo di riferimento</w:t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 diapositive utilizzate a lezione saranno fornite in formato PDF tramite una delle piattaforme di Ateneo.</w:t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 testi consigliati sono: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Robbins e Cotran “La basi patologiche delle malattie” a cura di V. Kumar, A. Abbas e J. Aster, Casa Editrice EDRA, Milano, 2021, X Edizione.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Rubin R. e Strayer DS. Patologia Generale. Piccin Editore.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Mainiero F., Misasi R. e Sorice M. Patologia generale e fisiopatologia generale. Piccin Editore, 2018, VI Edizione.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Abbas Immunologia cellulare e molecolare (Nona edizione). Edra edizioni.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K. Murphy &amp; C. Weaver Immunobiologia di Janeway (Nona edizione). Piccin Editore</w:t>
      </w:r>
    </w:p>
    <w:p w:rsidR="00000000" w:rsidDel="00000000" w:rsidP="00000000" w:rsidRDefault="00000000" w:rsidRPr="00000000" w14:paraId="0000002D">
      <w:pPr>
        <w:ind w:left="36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Risultati attesi </w:t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Conoscenza e capacità di comprensione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 processi patologici fondamentali che sono alla base delle malattie, con i loro correlati essenziali di semeiotica e terminologia medica.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Capacità di applicare conoscenza e comprensione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nello studio dei meccanismi d’azione dei farmaci nei diversi organi/apparati;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nell’applicare gli strumenti conoscitivi ed il rigore metodologico della patologia per il razionale esercizio di qualsiasi attività legata direttamente ed indirettamente alla tutela della salute.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Autonomia di giudizio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sostenere una discussione costruttiva su argomenti relativi all'eziopatogenesi delle malattie, e integrare le conoscenze e di formulare giudizi sulla base delle informazioni ricevute, includendo la riflessione sulle possibili conseguenze derivanti dall'applicazione delle loro conoscenze e giudizi.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Capacità comunicative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capacità di fornire consulenza in campo sanitario rivestendo un ruolo di educatore sanitario e di collaborare con medici, pazienti e strutture sanitarie.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sono capaci di comunicare, in forma scritta e orale, in inglese, oltre che in italiano.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Capacità di apprendimento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E">
      <w:pPr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nozioni utili per l'aggiornamento continuo delle proprie conoscenze;</w:t>
      </w:r>
    </w:p>
    <w:p w:rsidR="00000000" w:rsidDel="00000000" w:rsidP="00000000" w:rsidRDefault="00000000" w:rsidRPr="00000000" w14:paraId="0000003F">
      <w:pPr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strumenti informatici per la consultazione di banche dati e della letteratura specializzata;</w:t>
      </w:r>
    </w:p>
    <w:p w:rsidR="00000000" w:rsidDel="00000000" w:rsidP="00000000" w:rsidRDefault="00000000" w:rsidRPr="00000000" w14:paraId="00000040">
      <w:pPr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nozioni utili per affrontare scuole di dottorato, master e scuole di specializzazione.</w:t>
      </w:r>
    </w:p>
    <w:p w:rsidR="00000000" w:rsidDel="00000000" w:rsidP="00000000" w:rsidRDefault="00000000" w:rsidRPr="00000000" w14:paraId="00000041">
      <w:pPr>
        <w:spacing w:line="259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8B0D45"/>
    <w:rPr>
      <w:rFonts w:ascii="Times New Roman" w:cs="Times New Roman" w:eastAsia="Times New Roman" w:hAnsi="Times New Roman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8B0D45"/>
    <w:pPr>
      <w:spacing w:after="100" w:afterAutospacing="1" w:before="100" w:beforeAutospacing="1"/>
    </w:pPr>
  </w:style>
  <w:style w:type="paragraph" w:styleId="Paragrafoelenco">
    <w:name w:val="List Paragraph"/>
    <w:basedOn w:val="Normale"/>
    <w:uiPriority w:val="34"/>
    <w:qFormat w:val="1"/>
    <w:rsid w:val="008B0D45"/>
    <w:pPr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25E90"/>
    <w:rPr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25E90"/>
    <w:rPr>
      <w:rFonts w:ascii="Times New Roman" w:cs="Times New Roman" w:eastAsia="Times New Roman" w:hAnsi="Times New Roman"/>
      <w:sz w:val="18"/>
      <w:szCs w:val="18"/>
      <w:lang w:eastAsia="it-IT"/>
    </w:rPr>
  </w:style>
  <w:style w:type="paragraph" w:styleId="Revisione">
    <w:name w:val="Revision"/>
    <w:hidden w:val="1"/>
    <w:uiPriority w:val="99"/>
    <w:semiHidden w:val="1"/>
    <w:rsid w:val="00CF4DF7"/>
    <w:rPr>
      <w:rFonts w:ascii="Times New Roman" w:cs="Times New Roman" w:eastAsia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4816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 w:val="1"/>
    <w:unhideWhenUsed w:val="1"/>
    <w:rsid w:val="00481672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 w:val="1"/>
    <w:rsid w:val="00481672"/>
    <w:rPr>
      <w:rFonts w:ascii="Times New Roman" w:cs="Times New Roman" w:eastAsia="Times New Roman" w:hAnsi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481672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481672"/>
    <w:rPr>
      <w:rFonts w:ascii="Times New Roman" w:cs="Times New Roman" w:eastAsia="Times New Roman" w:hAnsi="Times New Roman"/>
      <w:b w:val="1"/>
      <w:bCs w:val="1"/>
      <w:sz w:val="20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klXPR23Vnm9iYBNVMzdPq1SC4g==">CgMxLjA4AHIhMVpUaDQzdlBZaVk4UTRVeDNDVTRlVFA4ak9EN240WWYx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2024-03-15T08:59:00Z</dcterms:created>
  <dc:creator>Federica BORALDI</dc:creator>
</cp:coreProperties>
</file>