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282828"/>
          <w:sz w:val="24"/>
          <w:szCs w:val="24"/>
        </w:rPr>
      </w:pPr>
      <w:r w:rsidDel="00000000" w:rsidR="00000000" w:rsidRPr="00000000">
        <w:rPr>
          <w:color w:val="282828"/>
          <w:sz w:val="24"/>
          <w:szCs w:val="24"/>
          <w:rtl w:val="0"/>
        </w:rPr>
        <w:t xml:space="preserve">FARMACIA (D.M. 1147/22)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color w:val="28282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82828"/>
          <w:sz w:val="24"/>
          <w:szCs w:val="24"/>
          <w:rtl w:val="0"/>
        </w:rPr>
        <w:t xml:space="preserve">Prodotti dietetici (8 CFU; 64 ore)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82828"/>
          <w:sz w:val="24"/>
          <w:szCs w:val="24"/>
          <w:rtl w:val="0"/>
        </w:rPr>
        <w:t xml:space="preserve">Anno 2025-26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Obiettivi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 termine dell’insegnamento, lo/la studente/ssa avrà acquisito le conoscenze sulle caratteristiche chimiche e nutrizionali dei prodotti dietetici venduti in farmacia, dando indicazioni per il loro uso corretto nella prevenzione, mantenimento e miglioramento della salute della persona.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Per una più completa comprensione degli obiettivi formativi, si rimanda alla lettura dei risultati di apprendimento attesi a seguito dello svolgimento del presente percorso formativo.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Prerequisiti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Conoscenze relative alla struttura e funzione delle molecole organiche.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Contenuti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scansione dei contenuti è da intendere come puramente indicativa. Essa può infatti subire modifiche nel corso dell’insegnamento, anche in funzione delle richieste degli studenti.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 CFU (8 ore)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Alimenti e Nutrienti. Alimenti e principi nutritivi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Bilancio energetico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Linee guida e LARN. La dieta equilibrata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Glucidi. Caratteristiche generali. Classificazione dei glucidi. Monosaccaridi. Derivati dei monosaccaridi. Disaccaridi. Polisaccaridi. Digestione e assorbimento dei glucidi. Funzioni dei glucidi. Fabbisogno glucidico.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Lipidi. Composizione chimica. Classificazione dei lipidi. Acidi grassi. Gliceridi. Fosfolipidi. Glicolipidi. Cere. Steridi. Terpeni. Steroli. Eicosanoidi. Funzioni dei lipidi. Fabbisogno lipidico.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Proteine. Struttura e classificazione delle proteine. Qualità delle proteine. Funzioni delle proteine. Fabbisogno proteico.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L’acqua. L’acqua negli alimenti. Le interazioni dell’acqua con le matrici alimentari. L’acqua potabile. Le acque minerali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3 CFU (24 ore)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Sali minerali. Funzione. Sintomi da carenza dei macro e microelementi. Integratori.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Vitamine. Vitamine idrosolubili (gruppo B, C) e liposolubili (A, D, E, K). Caratteristiche chimico-fisiche e stabilità, proprietà nutrizionali, valori LARN, biodisponibilità, stati carenziali. Fonti alimentari. Integratori di vitamine naturali e di sintesi.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Sostanze che derivano dalle trasformazioni dei principi nutritivi. Modifiche dei glucidi. Modifiche dei lipidi. Modifiche delle proteine.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Composti bioattivi. Composti bioattivi di origine animale: peptidi bioattivi del latte, acido linoleico coniugato, acido butirrico. Composti bioattivi di origine vegetale estratti dall’uva (resveratrolo), olio di oliva (oleuropeina, oleocantale), cacao, caffè, tè (caffeina, clovamide, polifenoli).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4 CFU (32 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Alimenti per la prima infanzia. Formule per lattanti. Alimenti per lo svezzamento. Latte di crescita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in gravidanza e allattamento.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nella terza età.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per lo sportivo. L’equilibrio idrosalino dello sportivo. Necessità nutrizionali dello sportivo. Integratori a base di glucidi, lipidi proteine/aminoacidi.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per la dislipidemia.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per celiaci. Cereali con glutine e senza glutine. Composizione dei prodotti per celiaci.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per il controllo del peso corporeo.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lipidici.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per soggetti con patologie associate al metabolismo degli aminoacidi.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per diabetici.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dietetici per soggetti con patologie associate al metabolismo dei carboidrati.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Prodotti destinati alla nutrizione enterale e parenterale.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Metodi Didattici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L’insegnamento viene erogato mediante lezioni frontali in presenza che prevedono l’utilizzo di un approccio interattivo. Le lezioni vengono svolte con l’ausilio di mezzi audiovisivi (presentazioni in Power Point e filmati).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frequenza alle lezioni è fortemente raccomandata al fine della proficua formazione dello studente.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L’insegnamento è erogato in lingua italiana.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Verifica dell'apprendimento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verifica dell’apprendimento prevede una prova orale che si svolgerà al termine dell’erogazione dell’insegnamento. La durata della prova è di circa 20 minuti.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prova orale prevede un colloquio semi-strutturato con tre domande con grado di approfondimento e di difficoltà crescente e su tre differenti argomenti tra quelli trattati durante lo svolgimento dell’insegnamento.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Gli esami si svolgono nell’arco del calendario didattico dell’offerta formativa e per ogni appello lo/a studente/studentessa che intenda sostenerlo dovrà iscriversi utilizzando la piattaforma Esse3. Non sono quindi previste valutazioni intermedie.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Gli indicatori (caratteristiche accertate) di valutazione della prova orale sono: capacità di utilizzare e collegare le conoscenze sulla proprietà e composizione chimica dei prodotti dietetici e la capacità di discutere e approfondire tali argomenti con padronanza del linguaggio scientifico-chimico.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La valutazione è espressa in trentesimi. Per superare l’esame deve essere conseguito un punteggio non inferiore a 18/30 (vale a dire una preparazione ragionevolmente sufficiente sia dal punto di vista dei contenuti che dal punto di vista del linguaggio espositivo utilizzato). Per conseguire un punteggio pari a 30/30 e lode, lo/la studente/ssa deve dimostrare di aver acquisito una conoscenza eccellente di tutti gli argomenti trattati e di saperli esprimere in modo logico e coerente.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Filippo Evangelisti, Patrizia Restani, Prodotti dietetici, chimica, tecnologia ed impiego, Piccin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Luisa Mannina, Maria Daglia, Alberto Ritieni, La chimica e gli alimenti nutrienti e aspetti nutraceutici, Cea - Zanichelli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 consultazione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In Teams o altra piattaforma di Ateneo vengono pubblicate settimanalmente e nel rispetto dei diritti d’autore le diapositive utilizzate dal docente per svolgere le lezioni.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Risultati di apprendimento attesi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Conoscenza e capacità di comprensione: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delle caratteristiche e degli aspetti chimici dei prodotti dietetici e delle loro funzioni e caratteristiche d'uso.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Capacità di applicare conoscenza e comprensione: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nel valutare la composizione chimica e il valore nutrizionale dei prodotti dietetici e degli alimenti funzionali.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Autonomia di giudizio: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sostenere una discussione costruttiva sulle nuove conoscenze dei prodotti dietetici e sugli alimenti funzionali;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consigliare correttamente i prodotti dietetici, tenendo conto anche della concomitante assunzione di medicinali e altri prodotti.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Calibri" w:cs="Calibri" w:eastAsia="Calibri" w:hAnsi="Calibri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Abilità comunicative: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sono capaci di fornire consulenza in campo sanitario rivestendo un ruolo di educatore sanitario e di collaborare con medici, pazienti e strutture sanitarie fornendo indicazioni utili in particolar modo sull'uso corretto dei prodotti dietetici.</w:t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sono capaci di comunicare, in forma scritta e orale, in inglese, oltre che in italiano.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Capacità di apprendimento: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nozioni utili per l'aggiornamento continuo delle proprie conoscenze;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strumenti informatici per la consultazione di banche dati e della letteratura specializzata;</w:t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nozioni utili per affrontare scuole di dottorato, master e scuole di specializzazione.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0830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0830D6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0830D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0830D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0830D6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0830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0830D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jSsOzc7OJJdpm/ihoQeLOftPw==">CgMxLjAyCGguZ2pkZ3hzOAByITF5NF9mem4zRnZqZ1oyN2ttb1RTT1p3aFl6WV95SWtSMQ==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2024-03-15T09:01:00Z</dcterms:created>
  <dc:creator>Rossella AVALLONE</dc:creator>
</cp:coreProperties>
</file>