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828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82828"/>
          <w:sz w:val="24"/>
          <w:szCs w:val="24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FARMACEUTICA E FORME FARMACEUTICHE INNOVATIVE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 CFU)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L’insegnamento è annuale, e consta di due moduli erogati nel I (7 CFU) e II semestre (6 CFU) del IV anno.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formativi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 dell’insegnamento, lo/a studente/essa avrà acquisito le conoscenze di base necessarie per la comprensione delle caratteristiche tecnologiche e delle modalità di impiego dei medicinali. Verranno trattate le principali forme farmaceutiche convenzionali e a rilascio modificato, gli eccipienti impiegati per la loro formulazione, le tecnologie per la loro produzione e il loro controllo secondo i saggi riportati nella Farmacopea ufficiale.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Per una più completa comprensione degli obiettivi formativi si rimanda alla lettura dei risultati di apprendimento attesi.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Conoscenze di chimica, fisica, anatomia e fisiologia, farmacologia.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 del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scansione dei contenuti è da </w:t>
      </w:r>
      <w:r w:rsidDel="00000000" w:rsidR="00000000" w:rsidRPr="00000000">
        <w:rPr>
          <w:sz w:val="24"/>
          <w:szCs w:val="24"/>
          <w:rtl w:val="0"/>
        </w:rPr>
        <w:t xml:space="preserve">intendersi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come puramente indicativa. Essa può infatti subire modifiche nel corso dell’insegnamento, anche in funzione delle richieste degli studenti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TECNOLOGIA FARMACEUTICA E FORME FARMACEUTICHE CONVENZIONALI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CFU Lezione frontale (48 ore) + 1 CFU laboratorio) I semestre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preparazioni liquide: Soluzioni vere e colloidali, sospensioni e emulsioni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Reologia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ore)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preparazioni liquide di derivazione vegetale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preparazioni liquide per uso orale: veicoli, antiossidanti, antimicrobici, edulcoranti e aromatizzanti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preparazioni semisolide per uso topico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Suppositori: ovuli e supposte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Polveri: macinazione, classificazione dimensionale. Porosità, densità. Determinazione della scorrevolezza.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 farmaceutiche solide orali. granulati, compresse, compresse rivestite e capsule: cenno ai metodi di produzione. Eccipienti necessari per la loro formulazione. Saggi di controllo secondo FU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Biofarmaceutica - Scopo della biofarmaceutica e definizione di biodisponibilità assoluta e relativa. Bioequivalenza - Fattori che influenzano la biodisponibilità dei farmaci: fattori legati agli eccipienti, fattori relativi al metodo di produzione, fattori legati ai siti di assorbimento.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LABORATORIO (1 CFU, 8 ore) (Esercitazioni a gruppo, 2 esercitazioni di 4 ore ciascuna a studente).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Allestimento di un granulato mediante granulazione classica e preparazione di compresse mediante uso di comprimitrice alternativa. Saggi tecnologici sulle compresse previsti dalla FU.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 FARMACEUTICHE CONVENZIONALI E INNOVATIVE (6 CFU, 48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semestre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Preparazioni parenterali. Vie di somministrazione parenterali - Requisiti chimici e biologici delle preparazioni parenterali - Sterilità: preparazione asettica e sterilizzazione terminale - Controllo della sterilità delle preparazioni farmaceutiche secondo FU - Apirogenicità: metodi per ottenere acqua sterile ed apirogena - Saggio dei pirogeni e delle endotossine batteriche - Eccipienti delle preparazioni parenterali - Liofilizzazione. (16 ore)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Preparazioni oftalmiche Richiami di anatomia oculare e barriere all’assorbimento dei farmaci per questa via - Preparazioni oftalmiche liquide - Caratteristiche ed eccipienti utilizzati. Preparazioni oftalmiche semisolide: caratteristiche ed eccipienti utilizzati - Inserti oculari. (4 ore)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 farmaceutiche inalatorie Richiami di anatomia dell’albero respiratorio e barriere all’assorbimento dei farmaci per via inalatoria. Diametro medio aereodinamico. Preparazioni liquide da nebulizzare e nebulizzatori. Preparazioni inalatorie pressurizzate (MDI). Polveri per inalazione e dispositivi utilizzati (PDI). ). Saggi di controllo previsti dalla FU (8 ore)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 farmaceutiche nasali: assorbimento dei farmaci attraverso la mucosa nasale. Nose-to-brain. Preparazioni nasali.  (2 ore)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 farmaceutiche a rilascio modificato: rilascio ritardato, pulsante, prolungato, controllato - Sistemi a matrici e sistemi a serbatoio e loro somministrazione – matrici, microsfere, pompe osmotiche. I transdermici (12 ore)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Nanomedicina. Liposomi, nanoparticelle polimeriche, nanoparticelle lipidiche. Vettori non virali per la terapia genica (4 ore)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Confezionamento ed etichettatura delle specialità medicinali Scadenza dei medicinali. (2 ore)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frontali in presenza (96 h, 12 CFU) basate prevalentemente su approccio trasmissivo e in parte interattivo; laboratorio a gruppi (8 h, 1 CFU); Tutoraggio ed eventuali seminari di approfondimento aggiuntivi.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frequenza alle lezioni è fortemente raccomandata al fine della proficua formazione dello studente.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Il docente verifica la frequenza con modalità che verrà comunicata all’inizio delle lezioni. </w:t>
      </w:r>
      <w:r w:rsidDel="00000000" w:rsidR="00000000" w:rsidRPr="00000000">
        <w:rPr>
          <w:sz w:val="24"/>
          <w:szCs w:val="24"/>
          <w:rtl w:val="0"/>
        </w:rPr>
        <w:t xml:space="preserve">L'attestazione di frequenza del laboratorio, che costituisce condizione necessaria per l'ammissione all'esame, è ottenuta presenziando ad almeno l'80% delle esercitazioni.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L’insegnamento è tenuto in lingua italiana.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dell’apprendimento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verifica dell’apprendimento avviene mediante una prova parziale ed una prova finale. In entrambi i casi l’esame consta di una prova orale ovvero in un colloquio strutturato della durata di circa 30 minuti, durante il quale si verifica che lo studente abbia appreso i concetti base di tecnologia farmaceutica che riguardano gli argomenti svolti rispettivamente nel primo (prova parziale) e nel secondo semestre (prova finale).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indicatori (caratteristiche accertate) di valutazione della prova orale sono: la proprietà di linguaggio, la capacità di collegamento dei vari argomenti e la capacità di applicare le conoscenze acquisite. Il voto finale sarà la media aritmetica delle due prove sostenute.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informazioni sulle verifiche: nell’arco del calendario didattico dell’offerta formativa si svolgeranno almeno sei sedute della prova parziale e 6 sedute della prova finale e per ogni appello lo/a studente/studentessa che intenda sostenerlo dovrà iscriversi utilizzando la piattaforma Esse3.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consigliati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 fornito dal Docente: sulla piattaforma Moodle o altra piattaforma di Ateneo prima dell’inizio delle lezioni vengono pubblicate, nel rispetto dei diritti d’autore, le slides utilizzate dal Docente per svolgere le lezioni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 consigliati: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P. COLOMBO e altri – Principi di Tecnologie Farmaceutiche 2°Ed– Ambrosiana - Milano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M. AMOROSA - Principi di Tecnica Farmaceutica - L.Tinarelli - Bologna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M. MARCHETTI e P. MINGHETTI - Legislazione Farmaceutica - Ambrosiana – Milano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di apprendimento attesi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Conoscenza e capacità di comprensione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diversi metodi di formulazione farmaceutica in funzione della via di somministrazione e delle principali operazioni tecnologiche.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più comuni eccipienti per la formulazione dei medicinali.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applicare conoscenza e comprensione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procedure di preparazione delle forme farmaceutiche convenzionali ed innovative alla corretta dispensazione dei medicinali.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Autonomia di giudizio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dispensare correttamente i medicinali, tenendo conto della prescrizione del medico e delle specifiche esigenze del paziente.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formulare forme farmaceutiche convenzionali e non convenzionali dei medicinali in funzione delle caratteristiche del farmaco e della via di somministrazione.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Abilità comunicative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fornire consulenza in campo sanitario rivestendo un ruolo di educatore sanitario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collaborazione con medici, pazienti e strutture sanitarie fornendo indicazioni utili in particolar modo sull'uso corretto dei medicinali.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nel comunicare, in forma scritta e orale, in inglese, oltre che in italiano.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apprendimento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nozioni utili per l'aggiornamento continuo delle proprie conoscenze;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degli strumenti disponibili per la consultazione di banche dati e della letteratura specializzata;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di nozioni utili per affrontare scuole di dottorato, master e scuole di specializzazione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even"/>
      <w:pgSz w:h="16838" w:w="11906" w:orient="portrait"/>
      <w:pgMar w:bottom="1134" w:top="1417" w:left="1134" w:right="1134" w:header="708" w:footer="708"/>
      <w:pgNumType w:start="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tabs>
        <w:tab w:val="left" w:leader="none" w:pos="-1746"/>
        <w:tab w:val="left" w:leader="none" w:pos="-1026"/>
        <w:tab w:val="left" w:leader="none" w:pos="0"/>
        <w:tab w:val="left" w:leader="none" w:pos="414"/>
        <w:tab w:val="left" w:leader="none" w:pos="1134"/>
        <w:tab w:val="left" w:leader="none" w:pos="1854"/>
        <w:tab w:val="left" w:leader="none" w:pos="2574"/>
        <w:tab w:val="left" w:leader="none" w:pos="3294"/>
        <w:tab w:val="left" w:leader="none" w:pos="4014"/>
        <w:tab w:val="left" w:leader="none" w:pos="4734"/>
        <w:tab w:val="left" w:leader="none" w:pos="5454"/>
        <w:tab w:val="left" w:leader="none" w:pos="6174"/>
        <w:tab w:val="left" w:leader="none" w:pos="6894"/>
        <w:tab w:val="left" w:leader="none" w:pos="7614"/>
        <w:tab w:val="left" w:leader="none" w:pos="8334"/>
        <w:tab w:val="left" w:leader="none" w:pos="9054"/>
        <w:tab w:val="left" w:leader="none" w:pos="9774"/>
        <w:tab w:val="left" w:leader="none" w:pos="10494"/>
      </w:tabs>
      <w:suppressAutoHyphens w:val="1"/>
      <w:overflowPunct w:val="0"/>
      <w:autoSpaceDE w:val="0"/>
      <w:autoSpaceDN w:val="0"/>
      <w:adjustRightInd w:val="0"/>
      <w:spacing w:line="240" w:lineRule="atLeast"/>
      <w:ind w:right="-7" w:leftChars="-1" w:rightChars="0" w:firstLineChars="-1"/>
      <w:jc w:val="both"/>
      <w:textDirection w:val="btLr"/>
      <w:textAlignment w:val="baseline"/>
      <w:outlineLvl w:val="2"/>
    </w:pPr>
    <w:rPr>
      <w:rFonts w:ascii="Tahoma" w:cs="Tahoma" w:hAnsi="Tahoma"/>
      <w:b w:val="1"/>
      <w:bCs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-1746"/>
        <w:tab w:val="left" w:leader="none" w:pos="-1026"/>
        <w:tab w:val="left" w:leader="none" w:pos="0"/>
        <w:tab w:val="left" w:leader="none" w:pos="414"/>
        <w:tab w:val="left" w:leader="none" w:pos="1134"/>
        <w:tab w:val="left" w:leader="none" w:pos="1854"/>
        <w:tab w:val="left" w:leader="none" w:pos="2574"/>
        <w:tab w:val="left" w:leader="none" w:pos="3294"/>
        <w:tab w:val="left" w:leader="none" w:pos="4014"/>
        <w:tab w:val="left" w:leader="none" w:pos="4734"/>
        <w:tab w:val="left" w:leader="none" w:pos="5454"/>
        <w:tab w:val="left" w:leader="none" w:pos="6174"/>
        <w:tab w:val="left" w:leader="none" w:pos="6894"/>
        <w:tab w:val="left" w:leader="none" w:pos="7614"/>
        <w:tab w:val="left" w:leader="none" w:pos="8334"/>
        <w:tab w:val="left" w:leader="none" w:pos="9054"/>
        <w:tab w:val="left" w:leader="none" w:pos="9774"/>
        <w:tab w:val="left" w:leader="none" w:pos="10494"/>
      </w:tabs>
      <w:suppressAutoHyphens w:val="1"/>
      <w:overflowPunct w:val="0"/>
      <w:autoSpaceDE w:val="0"/>
      <w:autoSpaceDN w:val="0"/>
      <w:adjustRightInd w:val="0"/>
      <w:spacing w:line="240" w:lineRule="atLeast"/>
      <w:ind w:right="-7" w:leftChars="-1" w:rightChars="0" w:firstLineChars="-1"/>
      <w:jc w:val="both"/>
      <w:textDirection w:val="btLr"/>
      <w:textAlignment w:val="baseline"/>
      <w:outlineLvl w:val="0"/>
    </w:pPr>
    <w:rPr>
      <w:rFonts w:ascii="Tahoma" w:cs="Tahoma" w:hAnsi="Tahoma"/>
      <w:color w:val="000000"/>
      <w:w w:val="100"/>
      <w:position w:val="-1"/>
      <w:sz w:val="1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BlockText">
    <w:name w:val="Block Text"/>
    <w:basedOn w:val="Normale"/>
    <w:next w:val="BlockText"/>
    <w:autoRedefine w:val="0"/>
    <w:hidden w:val="0"/>
    <w:qFormat w:val="0"/>
    <w:pPr>
      <w:tabs>
        <w:tab w:val="left" w:leader="none" w:pos="-1746"/>
        <w:tab w:val="left" w:leader="none" w:pos="-1026"/>
        <w:tab w:val="left" w:leader="none" w:pos="-306"/>
        <w:tab w:val="left" w:leader="none" w:pos="414"/>
        <w:tab w:val="left" w:leader="none" w:pos="1134"/>
        <w:tab w:val="left" w:leader="none" w:pos="1854"/>
        <w:tab w:val="left" w:leader="none" w:pos="2574"/>
        <w:tab w:val="left" w:leader="none" w:pos="3294"/>
        <w:tab w:val="left" w:leader="none" w:pos="4014"/>
        <w:tab w:val="left" w:leader="none" w:pos="4734"/>
        <w:tab w:val="left" w:leader="none" w:pos="5454"/>
        <w:tab w:val="left" w:leader="none" w:pos="6174"/>
        <w:tab w:val="left" w:leader="none" w:pos="6894"/>
        <w:tab w:val="left" w:leader="none" w:pos="7614"/>
        <w:tab w:val="left" w:leader="none" w:pos="8334"/>
        <w:tab w:val="left" w:leader="none" w:pos="9054"/>
        <w:tab w:val="left" w:leader="none" w:pos="9774"/>
        <w:tab w:val="left" w:leader="none" w:pos="10494"/>
      </w:tabs>
      <w:suppressAutoHyphens w:val="1"/>
      <w:overflowPunct w:val="0"/>
      <w:autoSpaceDE w:val="0"/>
      <w:autoSpaceDN w:val="0"/>
      <w:adjustRightInd w:val="0"/>
      <w:spacing w:line="240" w:lineRule="atLeast"/>
      <w:ind w:left="-306" w:right="-306" w:leftChars="-1" w:rightChars="0" w:firstLineChars="-1"/>
      <w:jc w:val="both"/>
      <w:textDirection w:val="btLr"/>
      <w:textAlignment w:val="baseline"/>
      <w:outlineLvl w:val="0"/>
    </w:pPr>
    <w:rPr>
      <w:rFonts w:ascii="Arial" w:hAnsi="Arial"/>
      <w:color w:val="000000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basedOn w:val="Car.predefinitoparagrafo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2Elu7/GOB5gQn1/CMSnK161Rjg==">CgMxLjA4AHIhMU1uWXEzc2ZhTHJWYktJYnptcUdIRjNLLVFEYzZUMkdj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2024-04-30T16:42:00Z</dcterms:created>
  <dc:creator>Albertino</dc:creator>
</cp:coreProperties>
</file>