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color w:val="000000"/>
        </w:rPr>
      </w:pPr>
      <w:bookmarkStart w:colFirst="0" w:colLast="0" w:name="_30j0zll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516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9"/>
        <w:gridCol w:w="8552"/>
        <w:gridCol w:w="3402"/>
        <w:tblGridChange w:id="0">
          <w:tblGrid>
            <w:gridCol w:w="3209"/>
            <w:gridCol w:w="8552"/>
            <w:gridCol w:w="3402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D</w:t>
            </w: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CENTE/GRUPPO DOCENTI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TESI SPERIMENTALI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32"/>
                <w:szCs w:val="32"/>
                <w:rtl w:val="0"/>
              </w:rPr>
              <w:t xml:space="preserve">TESI COMPILATIVE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Tosi Giovanni/Vandelli Maria Angela/ Ruozi Barbara/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highlight w:val="white"/>
                <w:rtl w:val="0"/>
              </w:rPr>
              <w:t xml:space="preserve">Cecilia Baraldi/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highlight w:val="white"/>
                <w:rtl w:val="0"/>
              </w:rPr>
              <w:t xml:space="preserve">Jason Duskey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N°3/4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: 1. Nanomedicine avanzate per patologie del SNC, tumori, infiammazione e malattie rare. 2. Gene Delivery con vettori non virali. 3. Preformulazione e scale up di Nanomedicine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 4 Studio di formulazioni cosmetiche innovative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N°2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1. Nanomedicina personalizzata, medicina di precisione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Rustichelli Cecilia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 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1.Problematiche analitiche per l’analisi di sostanze biologicamente attive in matrici complesse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Bertoni Laura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C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N°2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1. Caratterizzazione di un sistema di co-coltura in vitro di cellule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di colangiocarcinoma e H69 al fine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di mimare il microambiente infiammatorio della colangite biliare primitiva e colangite sclerosante primaria. 2.Effetti immunomodulatori delle cellule staminali e sinoviociti su linfociti e monociti ottenuti da pazienti con artrite reumatoide 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Tondi Donatella 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N°1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1. La resistenza batterica: dall’analisi strutturale allo sviluppo di nuovi inibitori attivi verso Metallo Beta Lattamasi e carbapenemasi emergenti e clinicamente rilevanti. 2. Inibitori broad spectrum e profili di inibizione vs enzimi Beta-Lattamasi: sovra-espressione, estrazione e purificazione di proteine ricombinanti, studi di cinetica ed inibizione enzimatica. 3. Drug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repurposing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di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farmaci noti come m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odula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tori dell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 risposta SOS nei batteri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N°2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Argomenti correlati all'attività di ricerca della docente oppure a scelta dello studente.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Prati Fabio/ Caselli Emilia/Fini Francesco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 4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1.Sintesi stereoselettive di inibitori di beta-lattamasi. 2. Sviluppo di nuove metodologie di sintesi di acidi boronici. 3. Sintesi in situ di nuovi inibitori delle beta-lattamasi. 4- Sviluppo di nuove metodologie in catalisi asimmetrica per la sintesi di intermedi chirali enantiopuri.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3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Fini Francesco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5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N°2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. Organocatalisi, fotocatalisi e catalisi metallica chirale per la sintesi di molecole enantiopure.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. Reazioni in flusso catalizzate mediante l’utilizzo di cartucce stampate in 3D.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6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Bertelli Davide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N°3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1. Sviluppo di metodi analitici avanzati per il controllo e  la caratterizzazione chimica e funzionale di alimenti, alimenti funzionali e prodotti nutraceutici; 2. Applicazioni NMR e qNMR ad alimenti; 3.Tracciabilità e genuinità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9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N°1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1. prodotti nutraceutici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Peppoloni Samuele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1. Le infezioni associate al biofilm e la valutazione dell’attività anti-biofilm di nuove molecole naturali e di sintesi; 2.  La messa punto di modelli sperimentali,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 vitro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e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 vivo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per investigare: a) il ruolo dei fattori di virulenza microbici coinvolti nella colonizzazione ed il danno nei confronti dell’ospite e b) l’efficacia terapeutica di agenti antimicrobici innovativi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Times New Roman" w:cs="Times New Roman" w:eastAsia="Times New Roman" w:hAnsi="Times New Roman"/>
                <w:sz w:val="23"/>
                <w:szCs w:val="23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N°2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1. Tematiche riguardanti l’attività di ricerca del docente o inerenti al programma dell’insegnamento di Microbiologia; 2. I vaccini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Pellati Federica 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N. 2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1. Development of new methods for untargeted metabolomics/lipidomic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s; 2.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 Development of new methods for targeted analysis of compounds in biological matrices (bioanalysis)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; 3. Identification of natural compounds as new hit/lead for drug discovery by applying an integrated multi-disciplinary approach.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Maria Paola Costi/Alberto Venturelli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N°3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1.Ottimizzazione  di dimer disrupters  dell'enzima Timidilato sintetasi (TS) (progettazione, sintesi e  studio dell'interazione inibitore:ligando); 2. Determinazione del sito di interazione dei dimer disrupters (Ddis) dell'enzima TS mediante  photoaffinity labelling (PAL) e Spettrometria di Massa; 3. Studio del meccanismo di interazione di protein/protein interaction inibitors del complesso YAP:TEAD mediante FRET e spettrometria di massa.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Alboni Silvia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2026_N° 1 -2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3c78d8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1. Studio delle meccanismi molecolari alla base della risposta di un trattamento con antidepressivi 2. Ruolo della neuroinfiammazione nello sviluppo di deficit cognitivi associati a malattie psichiatriche e neurodegenerative: da modelli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in vitro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all uomo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; 3. Ruolo dei metaboliti del microbiota intestinale nello sviluppo di fenotipi patologici in malattie del neurosviluppo, neurodegenerative e psichiatriche 4. Effetti metabolici di stimoli ambientali e trattamenti farmacologici.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26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7.968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efefe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  <w:bCs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222222"/>
                <w:sz w:val="24"/>
                <w:szCs w:val="24"/>
                <w:rtl w:val="0"/>
              </w:rPr>
              <w:t xml:space="preserve">Fabio TASCEDDA, Cristina BENATTI, Marta LOVINO, Veronica RIVI</w:t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4a86e8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1. Meccanismi di vulnerabilità alle patologie psichiatriche e del neurosviluppo in modelli animali.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Invertebrato Lymnaea stagnalis come modello per la medicina traslazionale.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 Studio in vitro dell’interazione muscolo-cervello e degli effetti neuroprotettivi dell’esercizio fisico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 Ricerca di biomarcatori in campioni biologici umani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222222"/>
                <w:rtl w:val="0"/>
              </w:rPr>
              <w:t xml:space="preserve">Argomenti: 1. Applicazioni cliniche della farcogenomica; 2. Medicina digitale e predittiva; 3. Potenzialità e sfide regolatorie dei nuovi farmaci biologici e delle terapie avanzate; 4. Popolazioni speciali e ricerca farmacologica; 5. Intelligenza artificiale, farmaci e salute.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Leo Eliana 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2E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N.2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.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1. Studio e caratterizzazione di nanoparticelle per la veicolazione di composti attivi con biodisponibilità critica </w:t>
            </w:r>
          </w:p>
        </w:tc>
        <w:tc>
          <w:tcPr>
            <w:shd w:fill="efefef" w:val="clear"/>
          </w:tcPr>
          <w:p w:rsidR="00000000" w:rsidDel="00000000" w:rsidP="00000000" w:rsidRDefault="00000000" w:rsidRPr="00000000" w14:paraId="0000002F">
            <w:pPr>
              <w:jc w:val="both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Gamberini M. Cristina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N.2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1. Identificazione e caratterizzazione nanocristalli in ambito farmaceutico 2. Identificazione e caratterizzazione di cellule staminali, fibroblasti, o cellule tumorali;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3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. Analisi LC/MS di steroidi , N.2 Controllo di qualità di analisi cosmetica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N.2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Argomenti inerenti l'ambito cosmetico: aspetti legislativi, tecnologici, formulativi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Vitale Giovanni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336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</w:tblBorders>
              <w:tblLayout w:type="fixed"/>
              <w:tblLook w:val="0000"/>
            </w:tblPr>
            <w:tblGrid>
              <w:gridCol w:w="8336"/>
              <w:tblGridChange w:id="0">
                <w:tblGrid>
                  <w:gridCol w:w="8336"/>
                </w:tblGrid>
              </w:tblGridChange>
            </w:tblGrid>
            <w:tr>
              <w:trPr>
                <w:cantSplit w:val="0"/>
                <w:trHeight w:val="385" w:hRule="atLeast"/>
                <w:tblHeader w:val="0"/>
              </w:trPr>
              <w:tc>
                <w:tcPr/>
                <w:p w:rsidR="00000000" w:rsidDel="00000000" w:rsidP="00000000" w:rsidRDefault="00000000" w:rsidRPr="00000000" w14:paraId="00000035">
                  <w:pPr>
                    <w:spacing w:after="0" w:line="240" w:lineRule="auto"/>
                    <w:jc w:val="both"/>
                    <w:rPr>
                      <w:b w:val="1"/>
                      <w:bCs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ff0000"/>
                      <w:rtl w:val="0"/>
                    </w:rPr>
                    <w:t xml:space="preserve">N°1 </w:t>
                  </w:r>
                  <w:r w:rsidDel="00000000" w:rsidR="00000000" w:rsidRPr="00000000">
                    <w:rPr>
                      <w:b w:val="1"/>
                      <w:bCs w:val="1"/>
                      <w:color w:val="0070c0"/>
                      <w:rtl w:val="0"/>
                    </w:rPr>
                    <w:t xml:space="preserve">Argomenti:</w:t>
                  </w:r>
                  <w:r w:rsidDel="00000000" w:rsidR="00000000" w:rsidRPr="00000000">
                    <w:rPr>
                      <w:b w:val="1"/>
                      <w:bCs w:val="1"/>
                      <w:color w:val="000000"/>
                      <w:rtl w:val="0"/>
                    </w:rPr>
                    <w:t xml:space="preserve"> 1. Effetti comportamentali e biochimici di composti naturali e di sintesi sul SNC. 2. Modelli in vitro e in vivo di neurodegenerazione. </w:t>
                  </w:r>
                </w:p>
                <w:p w:rsidR="00000000" w:rsidDel="00000000" w:rsidP="00000000" w:rsidRDefault="00000000" w:rsidRPr="00000000" w14:paraId="00000036">
                  <w:pPr>
                    <w:spacing w:after="0" w:line="240" w:lineRule="auto"/>
                    <w:jc w:val="both"/>
                    <w:rPr>
                      <w:b w:val="1"/>
                      <w:bCs w:val="1"/>
                      <w:color w:val="000000"/>
                    </w:rPr>
                  </w:pPr>
                  <w:r w:rsidDel="00000000" w:rsidR="00000000" w:rsidRPr="00000000">
                    <w:rPr>
                      <w:b w:val="1"/>
                      <w:bCs w:val="1"/>
                      <w:color w:val="000000"/>
                      <w:rtl w:val="0"/>
                    </w:rPr>
                    <w:t xml:space="preserve">Modelli in vitro di neuroinfiammazione </w:t>
                  </w:r>
                  <w:r w:rsidDel="00000000" w:rsidR="00000000" w:rsidRPr="00000000">
                    <w:rPr>
                      <w:b w:val="1"/>
                      <w:bCs w:val="1"/>
                      <w:rtl w:val="0"/>
                    </w:rPr>
                    <w:t xml:space="preserve"> per </w:t>
                  </w:r>
                  <w:r w:rsidDel="00000000" w:rsidR="00000000" w:rsidRPr="00000000">
                    <w:rPr>
                      <w:b w:val="1"/>
                      <w:bCs w:val="1"/>
                      <w:color w:val="000000"/>
                      <w:rtl w:val="0"/>
                    </w:rPr>
                    <w:t xml:space="preserve">lo studio dell’epilessia: ruolo dei neurosteroidi. </w:t>
                  </w:r>
                </w:p>
              </w:tc>
            </w:tr>
          </w:tbl>
          <w:p w:rsidR="00000000" w:rsidDel="00000000" w:rsidP="00000000" w:rsidRDefault="00000000" w:rsidRPr="00000000" w14:paraId="00000037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Romagnoli Carlo 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N°2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Argomenti inerenti la biologia vegetale in tutti i suoi aspetti, con particolare attenzione al rapporto tra le piante e l’ambiente. Le tesi proposte approfondiranno temi affascinanti e spesso poco conosciuti, come la neurobiologia vegetale, i sistemi di comunicazione e percezione delle piante, le interazioni tra organismi vegetali, le strategie di adattamento e le applicazioni della biomimetica, mostrando come il mondo vegetale sia molto più dinamico, sofisticato e sorprendente di quanto comunemente si pensi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Cannazza Giuseppe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N°1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1. Messa a punto di metodiche analitiche per lo studio di sostanze biologicamente attive e di loro metaboliti 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Corsi Lorenzo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N°1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1.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Valutazione della modulazione della proliferazione/morte cellulare in modelli sperimentali tumorali in vitro (2D/3D), di nuove molecole sintetiche o naturali; 2.Valutazione di proteine recettoriali mitocondriali e/o fitocomplessi nella sopravvivenza cellulare in patologie neurodegenerative e nel differenziamento cellulare; 3. Ricerca di nuovi target farmacologici antitumorali; 4.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Studi in vitro di nutraceutici per il management del diabete di tipo 2; 3.Studio in vitro degli eventuali effetti avversi di preparati destinati al pet food.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deded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Messi Patrizia </w:t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6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N°1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1. Studio delle caratteristiche biologiche di microrganismi commensali e patogeni di isolamento clinico, ambientale ed alimentare; 2 Studio dell’attività antibatterica di disinfettanti e sostanze naturali nei confronti di patogeni di interesse clinico, inclusi gli antibiotico-resistenti ed i produttori di biofilm.  </w:t>
            </w:r>
          </w:p>
          <w:p w:rsidR="00000000" w:rsidDel="00000000" w:rsidP="00000000" w:rsidRDefault="00000000" w:rsidRPr="00000000" w14:paraId="00000047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deded" w:val="clear"/>
          </w:tcPr>
          <w:p w:rsidR="00000000" w:rsidDel="00000000" w:rsidP="00000000" w:rsidRDefault="00000000" w:rsidRPr="00000000" w14:paraId="00000048">
            <w:pPr>
              <w:jc w:val="both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Rastelli Giulio / Pinzi Luca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hd w:fill="ffffff" w:val="clear"/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N.3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1. Targeting del carcinoma prostatico resistente alla castrazione mediante inibitori duali delle proteine HDAC6 e Hsp90; 2. Riposizionamento terapeutico dei farmaci mediante l’uso di metodi computazionali; 3. Progettazione degli inibitori dell’aggregazione di TAU al fine di ripristinare l'interazione TAU-microtubuli nei neuroni, per il trattamento della malattia di Alzheimer. 4. Sviluppo di una piattaforma digitale innovativa per la progettazione di farmaci.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N°1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Temi relativi al targeting di specifiche patologie complesse come le malattie neurodegenerative ed il cancro mediante inibitori multi-target e/o al riposizionamento terapeutico dei farmaci mediante l’uso di metodi computazionali, da concordare con il/la laureando/a.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Bortolotti Carlo A.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N°1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Studio della cinetica e termodinamica di interazione fra farmaci e albumina sierica umana con dispositivi bioelettronici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Silvia Franchini/Claudia Sorbi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hd w:fill="ffffff" w:val="clear"/>
              <w:spacing w:line="276" w:lineRule="auto"/>
              <w:jc w:val="both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N.°1/2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Sintesi di inibitori duali delle proteine HDAC6 e Hsp90 per il trattamento del carcinoma prostatico resistente alla castrazione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N°1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1. Ligandi dei recettori sigma per il trattamento delle patologie neurodegenerative e del cancro. 2. Ligandi serotoninergici per il trattamento delle patologie del Sistema Nervoso Centrale e del dolore neuropatico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Giulia Puja</w:t>
            </w:r>
          </w:p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hd w:fill="ffffff" w:val="clear"/>
              <w:spacing w:after="16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N.2-3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Studio dell'attivita' di composti endogeni (ormoni tiroidei, neurosteroidi) sulla vitalità e funzionalita' di cellule di glioblastoma -Calcium imaging </w:t>
            </w:r>
          </w:p>
          <w:p w:rsidR="00000000" w:rsidDel="00000000" w:rsidP="00000000" w:rsidRDefault="00000000" w:rsidRPr="00000000" w14:paraId="00000055">
            <w:pPr>
              <w:shd w:fill="ffffff" w:val="clear"/>
              <w:spacing w:after="16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Dosaggio dei livelli di  neurosteroidi in un modello murino di infiammazione prenatale- HPLC-MS </w:t>
            </w:r>
          </w:p>
          <w:p w:rsidR="00000000" w:rsidDel="00000000" w:rsidP="00000000" w:rsidRDefault="00000000" w:rsidRPr="00000000" w14:paraId="00000056">
            <w:pPr>
              <w:shd w:fill="ffffff" w:val="clear"/>
              <w:spacing w:after="160" w:line="276" w:lineRule="auto"/>
              <w:jc w:val="both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Studio sull’attivita’ degli astrociti in modelli animali di patologie neuropsichiatriche -  Calcium imaging ed  Extracellular Glutamate imaging-</w:t>
            </w: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7">
            <w:pPr>
              <w:shd w:fill="ffffff" w:val="clear"/>
              <w:spacing w:line="276" w:lineRule="auto"/>
              <w:jc w:val="both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76" w:lineRule="auto"/>
              <w:jc w:val="both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Ranieri Antonio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hd w:fill="ffffff" w:val="clear"/>
              <w:spacing w:after="160" w:line="276" w:lineRule="auto"/>
              <w:jc w:val="both"/>
              <w:rPr>
                <w:b w:val="1"/>
                <w:bCs w:val="1"/>
                <w:color w:val="0070c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N.2 </w:t>
            </w:r>
            <w:r w:rsidDel="00000000" w:rsidR="00000000" w:rsidRPr="00000000">
              <w:rPr>
                <w:b w:val="1"/>
                <w:bCs w:val="1"/>
                <w:color w:val="0070c0"/>
                <w:rtl w:val="0"/>
              </w:rPr>
              <w:t xml:space="preserve">Argomenti: </w:t>
            </w:r>
          </w:p>
          <w:p w:rsidR="00000000" w:rsidDel="00000000" w:rsidP="00000000" w:rsidRDefault="00000000" w:rsidRPr="00000000" w14:paraId="0000005C">
            <w:pPr>
              <w:shd w:fill="ffffff" w:val="clear"/>
              <w:spacing w:after="16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 Studio di bioconiugati costituiti da Nanocluster di oro-metalloproteina per la sintesi e caratterizzazione di Nanozymes dalle proprietà molecolari. </w:t>
            </w:r>
          </w:p>
          <w:p w:rsidR="00000000" w:rsidDel="00000000" w:rsidP="00000000" w:rsidRDefault="00000000" w:rsidRPr="00000000" w14:paraId="0000005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 Studio di proteine di trasferimento elettronico metallo-sostituite per la produzione di nuove specie biologiche dalle proprietà catalitiche </w:t>
            </w:r>
          </w:p>
          <w:p w:rsidR="00000000" w:rsidDel="00000000" w:rsidP="00000000" w:rsidRDefault="00000000" w:rsidRPr="00000000" w14:paraId="0000005E">
            <w:pPr>
              <w:shd w:fill="ffffff" w:val="clear"/>
              <w:spacing w:after="16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hd w:fill="ffffff" w:val="clear"/>
              <w:spacing w:after="160" w:line="276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pacing w:line="276" w:lineRule="auto"/>
              <w:jc w:val="both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610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2922"/>
        <w:gridCol w:w="2922"/>
        <w:gridCol w:w="2922"/>
        <w:gridCol w:w="2922"/>
        <w:gridCol w:w="2922"/>
        <w:tblGridChange w:id="0">
          <w:tblGrid>
            <w:gridCol w:w="2922"/>
            <w:gridCol w:w="2922"/>
            <w:gridCol w:w="2922"/>
            <w:gridCol w:w="2922"/>
            <w:gridCol w:w="2922"/>
          </w:tblGrid>
        </w:tblGridChange>
      </w:tblGrid>
      <w:tr>
        <w:trPr>
          <w:cantSplit w:val="0"/>
          <w:trHeight w:val="417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bookmarkStart w:colFirst="0" w:colLast="0" w:name="_gjdgxs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